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0F5C5" w14:textId="0B3C7414" w:rsidR="006D1284" w:rsidRDefault="00AE6162" w:rsidP="000A456F">
      <w:pPr>
        <w:pStyle w:val="Heading1"/>
      </w:pPr>
      <w:bookmarkStart w:id="0" w:name="_GoBack"/>
      <w:bookmarkEnd w:id="0"/>
      <w:r>
        <w:t>Staff task competency records template</w:t>
      </w:r>
    </w:p>
    <w:p w14:paraId="17149247" w14:textId="48A53E66" w:rsidR="00AE6162" w:rsidRPr="00A83AD0" w:rsidRDefault="00AE6162" w:rsidP="00A83AD0">
      <w:pPr>
        <w:pStyle w:val="Heading2"/>
        <w:rPr>
          <w:rStyle w:val="SubtleEmphasis"/>
          <w:b/>
          <w:i w:val="0"/>
        </w:rPr>
      </w:pPr>
      <w:r w:rsidRPr="00A83AD0">
        <w:rPr>
          <w:rStyle w:val="SubtleEmphasis"/>
          <w:b/>
          <w:i w:val="0"/>
        </w:rPr>
        <w:t xml:space="preserve">Infection prevention and control training </w:t>
      </w:r>
    </w:p>
    <w:tbl>
      <w:tblPr>
        <w:tblStyle w:val="GridTable5Dark-Accent1"/>
        <w:tblW w:w="14226" w:type="dxa"/>
        <w:tblLook w:val="04A0" w:firstRow="1" w:lastRow="0" w:firstColumn="1" w:lastColumn="0" w:noHBand="0" w:noVBand="1"/>
      </w:tblPr>
      <w:tblGrid>
        <w:gridCol w:w="2405"/>
        <w:gridCol w:w="2268"/>
        <w:gridCol w:w="1172"/>
        <w:gridCol w:w="1250"/>
        <w:gridCol w:w="1472"/>
        <w:gridCol w:w="1131"/>
        <w:gridCol w:w="1322"/>
        <w:gridCol w:w="1250"/>
        <w:gridCol w:w="1956"/>
      </w:tblGrid>
      <w:tr w:rsidR="00A83AD0" w:rsidRPr="00AE6162" w14:paraId="02C5C553" w14:textId="77777777" w:rsidTr="00A8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</w:tcPr>
          <w:p w14:paraId="0F0D0ECD" w14:textId="548DFA18" w:rsidR="00AE6162" w:rsidRPr="00AE6162" w:rsidRDefault="00AE6162" w:rsidP="00AE6162">
            <w:pPr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>Staff member details</w:t>
            </w:r>
          </w:p>
        </w:tc>
        <w:tc>
          <w:tcPr>
            <w:tcW w:w="7597" w:type="dxa"/>
            <w:gridSpan w:val="6"/>
          </w:tcPr>
          <w:p w14:paraId="431FE40E" w14:textId="637D33C3" w:rsidR="00AE6162" w:rsidRPr="00AE6162" w:rsidRDefault="00AE6162" w:rsidP="00AE6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 xml:space="preserve">Area of training </w:t>
            </w:r>
          </w:p>
        </w:tc>
        <w:tc>
          <w:tcPr>
            <w:tcW w:w="1956" w:type="dxa"/>
          </w:tcPr>
          <w:p w14:paraId="397CC607" w14:textId="6CDE530A" w:rsidR="00AE6162" w:rsidRPr="00AE6162" w:rsidRDefault="00AE6162" w:rsidP="00AE61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>Assessment</w:t>
            </w:r>
          </w:p>
        </w:tc>
      </w:tr>
      <w:tr w:rsidR="00A83AD0" w:rsidRPr="00AE6162" w14:paraId="772E86D0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2FBF44" w14:textId="7545CA31" w:rsidR="00AE6162" w:rsidRPr="00AE6162" w:rsidRDefault="00AE6162" w:rsidP="00AE6162">
            <w:pPr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 xml:space="preserve">Name </w:t>
            </w:r>
          </w:p>
        </w:tc>
        <w:tc>
          <w:tcPr>
            <w:tcW w:w="2268" w:type="dxa"/>
          </w:tcPr>
          <w:p w14:paraId="5AC983CC" w14:textId="5BDB6255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Job role</w:t>
            </w:r>
          </w:p>
        </w:tc>
        <w:tc>
          <w:tcPr>
            <w:tcW w:w="1172" w:type="dxa"/>
          </w:tcPr>
          <w:p w14:paraId="7FD20FD5" w14:textId="0293F534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Hand hygiene</w:t>
            </w:r>
          </w:p>
        </w:tc>
        <w:tc>
          <w:tcPr>
            <w:tcW w:w="1250" w:type="dxa"/>
          </w:tcPr>
          <w:p w14:paraId="38B65FB5" w14:textId="0EBB0FE1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Standard precautions</w:t>
            </w:r>
          </w:p>
        </w:tc>
        <w:tc>
          <w:tcPr>
            <w:tcW w:w="1472" w:type="dxa"/>
          </w:tcPr>
          <w:p w14:paraId="47826A03" w14:textId="58E67AA4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Transmission-based precautions</w:t>
            </w:r>
          </w:p>
        </w:tc>
        <w:tc>
          <w:tcPr>
            <w:tcW w:w="1131" w:type="dxa"/>
          </w:tcPr>
          <w:p w14:paraId="7129C4F6" w14:textId="16266DB3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Managing blood and body fluid spills</w:t>
            </w:r>
          </w:p>
        </w:tc>
        <w:tc>
          <w:tcPr>
            <w:tcW w:w="1322" w:type="dxa"/>
          </w:tcPr>
          <w:p w14:paraId="6A760355" w14:textId="7B261DCA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Managing blood or body fluid exposure (if required for role)</w:t>
            </w:r>
          </w:p>
        </w:tc>
        <w:tc>
          <w:tcPr>
            <w:tcW w:w="1250" w:type="dxa"/>
          </w:tcPr>
          <w:p w14:paraId="4C6AB85B" w14:textId="3C1A9D45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 xml:space="preserve">Appropriate use of cleaning products </w:t>
            </w:r>
          </w:p>
        </w:tc>
        <w:tc>
          <w:tcPr>
            <w:tcW w:w="1956" w:type="dxa"/>
          </w:tcPr>
          <w:p w14:paraId="352F6B27" w14:textId="290B54E3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Assessed / approved by</w:t>
            </w:r>
          </w:p>
        </w:tc>
      </w:tr>
      <w:tr w:rsidR="00A83AD0" w:rsidRPr="00AE6162" w14:paraId="4D2DADBA" w14:textId="77777777" w:rsidTr="00A83AD0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EF6DCFC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6F88A076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6780C4CD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520AE914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079C80BB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1A033EF5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0992F940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6670C139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0EB191A9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5829A876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6E8E49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68557EED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32F34668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39E0C45F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7EDA3A03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14F08C90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6B4D335F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0BB8B329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47BDD1E2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74E0FBAC" w14:textId="77777777" w:rsidTr="00A83AD0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1309D25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51096BF5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717F75D6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41D878CB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289EECDF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73F1FAC7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252EA758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09D6A8F9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0B1D0F4F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46BB5DB0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23FB9A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5D78488A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6A83D13D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5DFEFBB5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1A0B33D6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3AD04D7E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6439AFD1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141AC4FD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6203CC24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59BC8373" w14:textId="77777777" w:rsidTr="00A83AD0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061643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0D90BC58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049631B2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10FD3636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5D15601A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18149EEA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6A2125D6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14B570BD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0FB2CF04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622004BE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0BB90E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4CC7259A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0EFA64C8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36F90C59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0B5B74F2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4EA22DBF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3EC1DD51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2E54399A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7032A63A" w14:textId="77777777" w:rsidR="00AE6162" w:rsidRPr="00AE6162" w:rsidRDefault="00AE6162" w:rsidP="00AE6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5717A04D" w14:textId="77777777" w:rsidTr="00A83AD0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560B24A" w14:textId="77777777" w:rsidR="00AE6162" w:rsidRPr="00AE6162" w:rsidRDefault="00AE6162" w:rsidP="00AE6162">
            <w:pPr>
              <w:rPr>
                <w:rStyle w:val="SubtleEmphasis"/>
                <w:i w:val="0"/>
              </w:rPr>
            </w:pPr>
          </w:p>
        </w:tc>
        <w:tc>
          <w:tcPr>
            <w:tcW w:w="2268" w:type="dxa"/>
          </w:tcPr>
          <w:p w14:paraId="39A48777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72" w:type="dxa"/>
          </w:tcPr>
          <w:p w14:paraId="77EDBE1D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76A34F39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472" w:type="dxa"/>
          </w:tcPr>
          <w:p w14:paraId="7223451A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1" w:type="dxa"/>
          </w:tcPr>
          <w:p w14:paraId="4E1ED8FA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322" w:type="dxa"/>
          </w:tcPr>
          <w:p w14:paraId="1076C345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50" w:type="dxa"/>
          </w:tcPr>
          <w:p w14:paraId="372DD661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956" w:type="dxa"/>
          </w:tcPr>
          <w:p w14:paraId="7486166F" w14:textId="77777777" w:rsidR="00AE6162" w:rsidRPr="00AE6162" w:rsidRDefault="00AE6162" w:rsidP="00AE6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</w:tbl>
    <w:p w14:paraId="68AAD35B" w14:textId="40CF28A2" w:rsidR="00062BE7" w:rsidRDefault="00062BE7" w:rsidP="006D1284"/>
    <w:p w14:paraId="12B846D4" w14:textId="77777777" w:rsidR="00A83AD0" w:rsidRDefault="00A83AD0" w:rsidP="006D1284"/>
    <w:p w14:paraId="6EE98FFE" w14:textId="438F231F" w:rsidR="00A83AD0" w:rsidRDefault="00A83AD0" w:rsidP="00A83AD0">
      <w:pPr>
        <w:pStyle w:val="Heading2"/>
        <w:rPr>
          <w:b/>
        </w:rPr>
      </w:pPr>
      <w:r w:rsidRPr="00A83AD0">
        <w:rPr>
          <w:b/>
        </w:rPr>
        <w:t xml:space="preserve">Reprocessing medical equipment and instruments </w:t>
      </w:r>
    </w:p>
    <w:tbl>
      <w:tblPr>
        <w:tblStyle w:val="GridTable5Dark-Accent1"/>
        <w:tblW w:w="14942" w:type="dxa"/>
        <w:tblLook w:val="04A0" w:firstRow="1" w:lastRow="0" w:firstColumn="1" w:lastColumn="0" w:noHBand="0" w:noVBand="1"/>
      </w:tblPr>
      <w:tblGrid>
        <w:gridCol w:w="3117"/>
        <w:gridCol w:w="1544"/>
        <w:gridCol w:w="1007"/>
        <w:gridCol w:w="1151"/>
        <w:gridCol w:w="992"/>
        <w:gridCol w:w="1273"/>
        <w:gridCol w:w="1139"/>
        <w:gridCol w:w="917"/>
        <w:gridCol w:w="1129"/>
        <w:gridCol w:w="1098"/>
        <w:gridCol w:w="1575"/>
      </w:tblGrid>
      <w:tr w:rsidR="00A83AD0" w:rsidRPr="00AE6162" w14:paraId="39601D2E" w14:textId="77777777" w:rsidTr="00A8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gridSpan w:val="2"/>
          </w:tcPr>
          <w:p w14:paraId="41DD74F5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>Staff member details</w:t>
            </w:r>
          </w:p>
        </w:tc>
        <w:tc>
          <w:tcPr>
            <w:tcW w:w="8706" w:type="dxa"/>
            <w:gridSpan w:val="8"/>
          </w:tcPr>
          <w:p w14:paraId="67DCC4CD" w14:textId="407DC55D" w:rsidR="00A83AD0" w:rsidRPr="00AE6162" w:rsidRDefault="00A83AD0" w:rsidP="00B60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 xml:space="preserve">Area of training </w:t>
            </w:r>
          </w:p>
        </w:tc>
        <w:tc>
          <w:tcPr>
            <w:tcW w:w="1575" w:type="dxa"/>
          </w:tcPr>
          <w:p w14:paraId="1B76D899" w14:textId="77777777" w:rsidR="00A83AD0" w:rsidRPr="00AE6162" w:rsidRDefault="00A83AD0" w:rsidP="00B602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 w:rsidRPr="00AE6162">
              <w:rPr>
                <w:rStyle w:val="SubtleEmphasis"/>
                <w:i w:val="0"/>
              </w:rPr>
              <w:t>Assessment</w:t>
            </w:r>
          </w:p>
        </w:tc>
      </w:tr>
      <w:tr w:rsidR="00A83AD0" w:rsidRPr="00AE6162" w14:paraId="78B57ACE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374C3F02" w14:textId="77777777" w:rsidR="00A83AD0" w:rsidRPr="00AE6162" w:rsidRDefault="00A83AD0" w:rsidP="00A83AD0">
            <w:pPr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 xml:space="preserve">Name </w:t>
            </w:r>
          </w:p>
        </w:tc>
        <w:tc>
          <w:tcPr>
            <w:tcW w:w="1544" w:type="dxa"/>
          </w:tcPr>
          <w:p w14:paraId="031A0CA4" w14:textId="77777777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Job role</w:t>
            </w:r>
          </w:p>
        </w:tc>
        <w:tc>
          <w:tcPr>
            <w:tcW w:w="1007" w:type="dxa"/>
          </w:tcPr>
          <w:p w14:paraId="31E79CAE" w14:textId="6F0D8A3C" w:rsidR="00A83AD0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Cleaning</w:t>
            </w:r>
          </w:p>
        </w:tc>
        <w:tc>
          <w:tcPr>
            <w:tcW w:w="1151" w:type="dxa"/>
          </w:tcPr>
          <w:p w14:paraId="70083513" w14:textId="757D0612" w:rsidR="00A83AD0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 xml:space="preserve">Packaging </w:t>
            </w:r>
          </w:p>
        </w:tc>
        <w:tc>
          <w:tcPr>
            <w:tcW w:w="992" w:type="dxa"/>
          </w:tcPr>
          <w:p w14:paraId="1963AC0C" w14:textId="585EDE7E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Loading the steriliser</w:t>
            </w:r>
          </w:p>
        </w:tc>
        <w:tc>
          <w:tcPr>
            <w:tcW w:w="1273" w:type="dxa"/>
          </w:tcPr>
          <w:p w14:paraId="1FCC123E" w14:textId="78553279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Monitoring the sterilisation cycle</w:t>
            </w:r>
          </w:p>
        </w:tc>
        <w:tc>
          <w:tcPr>
            <w:tcW w:w="1139" w:type="dxa"/>
          </w:tcPr>
          <w:p w14:paraId="72E4A2BF" w14:textId="3BC3BF34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Unloading the steriliser</w:t>
            </w:r>
          </w:p>
        </w:tc>
        <w:tc>
          <w:tcPr>
            <w:tcW w:w="917" w:type="dxa"/>
          </w:tcPr>
          <w:p w14:paraId="48446B81" w14:textId="5F8B131E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Storage</w:t>
            </w:r>
          </w:p>
        </w:tc>
        <w:tc>
          <w:tcPr>
            <w:tcW w:w="1129" w:type="dxa"/>
          </w:tcPr>
          <w:p w14:paraId="03DCFFEB" w14:textId="44093F66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 xml:space="preserve">Recording </w:t>
            </w:r>
          </w:p>
        </w:tc>
        <w:tc>
          <w:tcPr>
            <w:tcW w:w="1098" w:type="dxa"/>
          </w:tcPr>
          <w:p w14:paraId="50529BDC" w14:textId="5E906DEB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Validation</w:t>
            </w:r>
          </w:p>
        </w:tc>
        <w:tc>
          <w:tcPr>
            <w:tcW w:w="1575" w:type="dxa"/>
          </w:tcPr>
          <w:p w14:paraId="0C321753" w14:textId="77777777" w:rsidR="00A83AD0" w:rsidRPr="00AE6162" w:rsidRDefault="00A83AD0" w:rsidP="00A83A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</w:rPr>
              <w:t>Assessed / approved by</w:t>
            </w:r>
          </w:p>
        </w:tc>
      </w:tr>
      <w:tr w:rsidR="00A83AD0" w:rsidRPr="00AE6162" w14:paraId="394D888F" w14:textId="77777777" w:rsidTr="00A83AD0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65351EC1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41E9BDEF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4CA364B8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59989B32" w14:textId="1D727FF4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3F286246" w14:textId="05E9135D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0B4EF93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6FBB680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0392C57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30AE0F84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20961804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39241BDC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747AAA70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6E7CB448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411D224C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61D66CED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1DD30DC6" w14:textId="335BBFB6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15B98611" w14:textId="4E86A0C9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09590675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37596689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7BBF59CD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76E50AF9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4BE2FC40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5DF3FE96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572E6F56" w14:textId="77777777" w:rsidTr="00A83AD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20E984BF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3996692E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5EDDA461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315C45CB" w14:textId="7A1DA8B2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5A4DE2B9" w14:textId="44C414BC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78FFCB50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0827C2CA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78686345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57B54E7E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61911E80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174BEF7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33F59CB5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2B721E8B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540A8E57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0391551B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3D2F9BB2" w14:textId="77F816D8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34038343" w14:textId="3BEE39E3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05CF6B26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014E4110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3222B564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7895881B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1B9363CB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006814E1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43034044" w14:textId="77777777" w:rsidTr="00A83AD0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7089A298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6B2F9D73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72F344B4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2BF01EDF" w14:textId="797AB15D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1CB824EA" w14:textId="6674DA85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5F6CDA48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6DFEDB9D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653BFF9B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49C9DAF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5FE200A8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7C401F72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363868F6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6EC54140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20651835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7AF39312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7F8E2CB4" w14:textId="799F9A68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615E68B7" w14:textId="35DD22D6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7DE42EE9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35E89935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374A43C5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3716BB47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7E1B5D0B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7ACD6F6C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53CAB129" w14:textId="77777777" w:rsidTr="00A83AD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2D1F8068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2C8DE3DC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4C2B757F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55C1DC50" w14:textId="6D5E0D2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5A6B2CBD" w14:textId="0C55E1BE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5CA022E1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0666F1E0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3659D393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2F1686E5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0E41C68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0C69D986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23843916" w14:textId="77777777" w:rsidTr="00A8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6EC36BDE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5A0E03A1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66AE2B8D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42C9A7EC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4D3BF18F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0FAED936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41CFB36D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58232906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57E9AF82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3AFEF062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6158B77E" w14:textId="77777777" w:rsidR="00A83AD0" w:rsidRPr="00AE6162" w:rsidRDefault="00A83AD0" w:rsidP="00B602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  <w:tr w:rsidR="00A83AD0" w:rsidRPr="00AE6162" w14:paraId="1F1C48A7" w14:textId="77777777" w:rsidTr="00A83AD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</w:tcPr>
          <w:p w14:paraId="33518278" w14:textId="77777777" w:rsidR="00A83AD0" w:rsidRPr="00AE6162" w:rsidRDefault="00A83AD0" w:rsidP="00B6025F">
            <w:pPr>
              <w:rPr>
                <w:rStyle w:val="SubtleEmphasis"/>
                <w:i w:val="0"/>
              </w:rPr>
            </w:pPr>
          </w:p>
        </w:tc>
        <w:tc>
          <w:tcPr>
            <w:tcW w:w="1544" w:type="dxa"/>
          </w:tcPr>
          <w:p w14:paraId="5907040B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07" w:type="dxa"/>
          </w:tcPr>
          <w:p w14:paraId="7D32FAA6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51" w:type="dxa"/>
          </w:tcPr>
          <w:p w14:paraId="27C6BEA6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92" w:type="dxa"/>
          </w:tcPr>
          <w:p w14:paraId="0E8CA207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273" w:type="dxa"/>
          </w:tcPr>
          <w:p w14:paraId="4430911A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39" w:type="dxa"/>
          </w:tcPr>
          <w:p w14:paraId="163B72E2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917" w:type="dxa"/>
          </w:tcPr>
          <w:p w14:paraId="01B2F2D1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129" w:type="dxa"/>
          </w:tcPr>
          <w:p w14:paraId="4919DD92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098" w:type="dxa"/>
          </w:tcPr>
          <w:p w14:paraId="0055F2E0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  <w:tc>
          <w:tcPr>
            <w:tcW w:w="1575" w:type="dxa"/>
          </w:tcPr>
          <w:p w14:paraId="7C5334C4" w14:textId="77777777" w:rsidR="00A83AD0" w:rsidRPr="00AE6162" w:rsidRDefault="00A83AD0" w:rsidP="00B60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</w:rPr>
            </w:pPr>
          </w:p>
        </w:tc>
      </w:tr>
    </w:tbl>
    <w:p w14:paraId="1D85692D" w14:textId="77777777" w:rsidR="00A83AD0" w:rsidRDefault="00A83AD0" w:rsidP="00A83AD0"/>
    <w:p w14:paraId="1F1EA0CD" w14:textId="77777777" w:rsidR="00E822C0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0A23073B" w14:textId="77777777" w:rsidR="00E822C0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345D0410" w14:textId="77777777" w:rsidR="00E822C0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0E0C189B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  <w:r w:rsidRPr="0002280E">
        <w:rPr>
          <w:rFonts w:cs="Arial"/>
          <w:color w:val="000000"/>
          <w:sz w:val="18"/>
          <w:szCs w:val="18"/>
        </w:rPr>
        <w:t>Disclaimer</w:t>
      </w:r>
    </w:p>
    <w:p w14:paraId="0118A9AF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8"/>
          <w:szCs w:val="18"/>
        </w:rPr>
      </w:pPr>
    </w:p>
    <w:p w14:paraId="2A325AF8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68D89F01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5958D692" w14:textId="7D741DC5" w:rsidR="00E822C0" w:rsidRPr="003D6097" w:rsidRDefault="00E822C0" w:rsidP="00E822C0">
      <w:pPr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3D6097" w:rsidRPr="003D6097">
        <w:rPr>
          <w:rFonts w:cs="Arial"/>
          <w:sz w:val="16"/>
          <w:szCs w:val="16"/>
        </w:rPr>
        <w:t>[2019</w:t>
      </w:r>
      <w:r w:rsidRPr="003D6097">
        <w:rPr>
          <w:rFonts w:cs="Arial"/>
          <w:sz w:val="16"/>
          <w:szCs w:val="16"/>
        </w:rPr>
        <w:t>]</w:t>
      </w:r>
    </w:p>
    <w:p w14:paraId="402C8218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87B182" w14:textId="77777777" w:rsidR="00E822C0" w:rsidRDefault="001175A5" w:rsidP="00E822C0">
      <w:pPr>
        <w:spacing w:after="0" w:line="240" w:lineRule="auto"/>
        <w:rPr>
          <w:rFonts w:cs="Arial"/>
          <w:sz w:val="16"/>
          <w:szCs w:val="16"/>
        </w:rPr>
      </w:pPr>
      <w:hyperlink r:id="rId7" w:history="1"/>
      <w:hyperlink r:id="rId8" w:history="1">
        <w:r w:rsidR="00E822C0" w:rsidRPr="000871B9">
          <w:rPr>
            <w:rFonts w:cs="Arial"/>
            <w:sz w:val="16"/>
            <w:szCs w:val="16"/>
          </w:rPr>
          <w:t>This</w:t>
        </w:r>
      </w:hyperlink>
      <w:r w:rsidR="00E822C0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9" w:history="1">
        <w:r w:rsidR="00E822C0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E822C0">
        <w:rPr>
          <w:rFonts w:cs="Arial"/>
          <w:sz w:val="16"/>
          <w:szCs w:val="16"/>
        </w:rPr>
        <w:t xml:space="preserve"> </w:t>
      </w:r>
    </w:p>
    <w:p w14:paraId="1EB17317" w14:textId="77777777" w:rsidR="00E822C0" w:rsidRDefault="00E822C0" w:rsidP="00E822C0">
      <w:pPr>
        <w:spacing w:after="0" w:line="240" w:lineRule="auto"/>
        <w:rPr>
          <w:rFonts w:cs="Arial"/>
          <w:sz w:val="16"/>
          <w:szCs w:val="16"/>
        </w:rPr>
      </w:pPr>
    </w:p>
    <w:p w14:paraId="1898E8F0" w14:textId="77777777" w:rsidR="00E822C0" w:rsidRPr="0002280E" w:rsidRDefault="00E822C0" w:rsidP="00E822C0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0AAB1924" w14:textId="77777777" w:rsidR="00E822C0" w:rsidRPr="00A83AD0" w:rsidRDefault="00E822C0" w:rsidP="00A83AD0"/>
    <w:sectPr w:rsidR="00E822C0" w:rsidRPr="00A83AD0" w:rsidSect="00AE6162">
      <w:headerReference w:type="default" r:id="rId10"/>
      <w:footerReference w:type="default" r:id="rId11"/>
      <w:pgSz w:w="16838" w:h="11906" w:orient="landscape"/>
      <w:pgMar w:top="1440" w:right="226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6E8953C1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5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117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777FE"/>
    <w:rsid w:val="000A456F"/>
    <w:rsid w:val="000B6F47"/>
    <w:rsid w:val="001175A5"/>
    <w:rsid w:val="00120180"/>
    <w:rsid w:val="001D0673"/>
    <w:rsid w:val="003736FB"/>
    <w:rsid w:val="003D6097"/>
    <w:rsid w:val="004416A5"/>
    <w:rsid w:val="00465E70"/>
    <w:rsid w:val="004A430C"/>
    <w:rsid w:val="005B1E07"/>
    <w:rsid w:val="006D1284"/>
    <w:rsid w:val="0071358B"/>
    <w:rsid w:val="008509BF"/>
    <w:rsid w:val="008C7DFE"/>
    <w:rsid w:val="00A83AD0"/>
    <w:rsid w:val="00AE6162"/>
    <w:rsid w:val="00BF419D"/>
    <w:rsid w:val="00E822C0"/>
    <w:rsid w:val="00E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0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E6162"/>
    <w:rPr>
      <w:i/>
      <w:iCs/>
      <w:color w:val="404040" w:themeColor="text1" w:themeTint="BF"/>
    </w:rPr>
  </w:style>
  <w:style w:type="table" w:styleId="GridTable5Dark-Accent5">
    <w:name w:val="Grid Table 5 Dark Accent 5"/>
    <w:basedOn w:val="TableNormal"/>
    <w:uiPriority w:val="50"/>
    <w:rsid w:val="00A83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A83A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A83A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83A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acgp.org.au/usage/lic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2019-06-03T22:46:00Z</dcterms:created>
  <dcterms:modified xsi:type="dcterms:W3CDTF">2019-06-03T22:46:00Z</dcterms:modified>
</cp:coreProperties>
</file>