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59C15E11" w:rsidR="002C4C1B" w:rsidRDefault="00401558" w:rsidP="002C4C1B">
      <w:pPr>
        <w:rPr>
          <w:rFonts w:ascii="Georgia" w:hAnsi="Georgia" w:cs="Adobe Devanagari"/>
          <w:color w:val="000000" w:themeColor="text1"/>
          <w:sz w:val="32"/>
          <w:szCs w:val="32"/>
        </w:rPr>
      </w:pPr>
      <w:r>
        <w:rPr>
          <w:rFonts w:ascii="Georgia" w:hAnsi="Georgia" w:cs="Adobe Devanagari"/>
          <w:i/>
          <w:color w:val="000000" w:themeColor="text1"/>
          <w:sz w:val="32"/>
          <w:szCs w:val="32"/>
        </w:rPr>
        <w:t>Risk assessment for patients with complex needs</w:t>
      </w:r>
      <w:r w:rsidR="00E42E04"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 </w:t>
      </w:r>
      <w:r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relating to drugs and alcohol </w:t>
      </w:r>
      <w:r w:rsidR="00E42E04">
        <w:rPr>
          <w:rFonts w:ascii="Georgia" w:hAnsi="Georgia" w:cs="Adobe Devanagari"/>
          <w:i/>
          <w:color w:val="000000" w:themeColor="text1"/>
          <w:sz w:val="32"/>
          <w:szCs w:val="32"/>
        </w:rPr>
        <w:t>policy template</w:t>
      </w:r>
    </w:p>
    <w:p w14:paraId="0A82AC92" w14:textId="619218AE" w:rsidR="005D3E10" w:rsidRDefault="005D3E10" w:rsidP="002C4C1B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Purpose: </w:t>
      </w:r>
    </w:p>
    <w:p w14:paraId="111BCFE8" w14:textId="36940600" w:rsidR="002C4C1B" w:rsidRDefault="002C4C1B" w:rsidP="002C4C1B">
      <w:pPr>
        <w:rPr>
          <w:rFonts w:cs="Arial"/>
          <w:color w:val="000000" w:themeColor="text1"/>
          <w:szCs w:val="20"/>
        </w:rPr>
      </w:pPr>
      <w:r w:rsidRPr="00C01661">
        <w:rPr>
          <w:rFonts w:cs="Arial"/>
          <w:color w:val="000000" w:themeColor="text1"/>
          <w:szCs w:val="20"/>
        </w:rPr>
        <w:t xml:space="preserve">To </w:t>
      </w:r>
      <w:r w:rsidR="00401558">
        <w:rPr>
          <w:rFonts w:cs="Arial"/>
          <w:color w:val="000000" w:themeColor="text1"/>
          <w:szCs w:val="20"/>
        </w:rPr>
        <w:t>inform clinical staff of circumstances where a patient</w:t>
      </w:r>
      <w:r w:rsidR="009273B1">
        <w:rPr>
          <w:rFonts w:cs="Arial"/>
          <w:color w:val="000000" w:themeColor="text1"/>
          <w:szCs w:val="20"/>
        </w:rPr>
        <w:t xml:space="preserve"> is considered high clinical risk and in need of referral to public alcohol and drug </w:t>
      </w:r>
      <w:proofErr w:type="gramStart"/>
      <w:r w:rsidR="009273B1">
        <w:rPr>
          <w:rFonts w:cs="Arial"/>
          <w:color w:val="000000" w:themeColor="text1"/>
          <w:szCs w:val="20"/>
        </w:rPr>
        <w:t>facilities,</w:t>
      </w:r>
      <w:proofErr w:type="gramEnd"/>
      <w:r w:rsidR="009273B1">
        <w:rPr>
          <w:rFonts w:cs="Arial"/>
          <w:color w:val="000000" w:themeColor="text1"/>
          <w:szCs w:val="20"/>
        </w:rPr>
        <w:t xml:space="preserve"> or a general practitioner with advanced training in addiction medicine</w:t>
      </w:r>
      <w:r w:rsidR="00E42E04" w:rsidRPr="00E42E04">
        <w:rPr>
          <w:rFonts w:cs="Arial"/>
          <w:color w:val="000000" w:themeColor="text1"/>
          <w:szCs w:val="20"/>
        </w:rPr>
        <w:t>.</w:t>
      </w:r>
    </w:p>
    <w:p w14:paraId="666F6DBE" w14:textId="77777777" w:rsidR="00F408D3" w:rsidRPr="00483679" w:rsidRDefault="00F408D3" w:rsidP="00F408D3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7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</w:p>
    <w:p w14:paraId="0A5AA210" w14:textId="7773EA05" w:rsidR="00401558" w:rsidRPr="00401558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FF000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>
        <w:rPr>
          <w:rFonts w:cs="Arial"/>
          <w:color w:val="FF0000"/>
          <w:sz w:val="36"/>
          <w:szCs w:val="24"/>
          <w:lang w:val="en-GB"/>
        </w:rPr>
        <w:t xml:space="preserve"> practice name] </w:t>
      </w:r>
      <w:r w:rsidR="00401558">
        <w:rPr>
          <w:rFonts w:cs="Arial"/>
          <w:color w:val="0070C0"/>
          <w:sz w:val="36"/>
          <w:szCs w:val="24"/>
          <w:lang w:val="en-GB"/>
        </w:rPr>
        <w:t>policy for patients with complex needs – risk assessment for ongoing management</w:t>
      </w: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p w14:paraId="0E3792CE" w14:textId="666D1350" w:rsidR="009273B1" w:rsidRDefault="009273B1" w:rsidP="009273B1">
      <w:pPr>
        <w:spacing w:after="0"/>
        <w:contextualSpacing/>
        <w:rPr>
          <w:rFonts w:cs="Arial"/>
          <w:b/>
          <w:bCs/>
        </w:rPr>
      </w:pPr>
      <w:r w:rsidRPr="009273B1">
        <w:rPr>
          <w:rFonts w:cs="Arial"/>
          <w:b/>
          <w:bCs/>
        </w:rPr>
        <w:t>PATIENTS WITH COMPLEX NEEDS RELATING TO DRUGS AND ALOCHOL – RISK ASSESSMENT FOR ONGOING MANAGEMENT</w:t>
      </w:r>
    </w:p>
    <w:p w14:paraId="05677CB3" w14:textId="77777777" w:rsidR="009273B1" w:rsidRPr="009273B1" w:rsidRDefault="009273B1" w:rsidP="009273B1">
      <w:pPr>
        <w:spacing w:after="0"/>
        <w:contextualSpacing/>
        <w:rPr>
          <w:rFonts w:cs="Arial"/>
          <w:b/>
          <w:bCs/>
        </w:rPr>
      </w:pPr>
    </w:p>
    <w:p w14:paraId="0F8040B0" w14:textId="4ADF04CC" w:rsidR="009273B1" w:rsidRDefault="009273B1" w:rsidP="009273B1">
      <w:pPr>
        <w:spacing w:after="0"/>
        <w:contextualSpacing/>
        <w:rPr>
          <w:rFonts w:cs="Arial"/>
          <w:bCs/>
        </w:rPr>
      </w:pPr>
      <w:r w:rsidRPr="009273B1">
        <w:rPr>
          <w:rFonts w:cs="Arial"/>
          <w:bCs/>
        </w:rPr>
        <w:t>This practice deems the following patients to be at high clinical risk and in need of referral to public alcohol and drug</w:t>
      </w:r>
      <w:r>
        <w:rPr>
          <w:rFonts w:cs="Arial"/>
          <w:bCs/>
        </w:rPr>
        <w:t xml:space="preserve"> </w:t>
      </w:r>
      <w:r w:rsidRPr="009273B1">
        <w:rPr>
          <w:rFonts w:cs="Arial"/>
          <w:bCs/>
        </w:rPr>
        <w:t>facilities, or a general practitioner with advanced training in addiction medicine:</w:t>
      </w:r>
    </w:p>
    <w:p w14:paraId="31915F91" w14:textId="77777777" w:rsidR="009273B1" w:rsidRPr="009273B1" w:rsidRDefault="009273B1" w:rsidP="009273B1">
      <w:pPr>
        <w:spacing w:after="0"/>
        <w:contextualSpacing/>
        <w:rPr>
          <w:rFonts w:cs="Arial"/>
          <w:bCs/>
        </w:rPr>
      </w:pPr>
    </w:p>
    <w:p w14:paraId="463E50B7" w14:textId="51375DB4" w:rsidR="009273B1" w:rsidRPr="009273B1" w:rsidRDefault="009273B1" w:rsidP="009273B1">
      <w:pPr>
        <w:pStyle w:val="ListParagraph"/>
        <w:numPr>
          <w:ilvl w:val="0"/>
          <w:numId w:val="47"/>
        </w:numPr>
        <w:spacing w:after="0"/>
        <w:rPr>
          <w:rFonts w:cs="Arial"/>
          <w:bCs/>
        </w:rPr>
      </w:pPr>
      <w:r w:rsidRPr="009273B1">
        <w:rPr>
          <w:rFonts w:cs="Arial"/>
          <w:bCs/>
        </w:rPr>
        <w:t>patients discharged from other general practices due to problematic behaviour</w:t>
      </w:r>
    </w:p>
    <w:p w14:paraId="5FAB5FD5" w14:textId="5808FD27" w:rsidR="009273B1" w:rsidRPr="009273B1" w:rsidRDefault="009273B1" w:rsidP="009273B1">
      <w:pPr>
        <w:pStyle w:val="ListParagraph"/>
        <w:numPr>
          <w:ilvl w:val="0"/>
          <w:numId w:val="47"/>
        </w:numPr>
        <w:spacing w:after="0"/>
        <w:rPr>
          <w:rFonts w:cs="Arial"/>
          <w:bCs/>
        </w:rPr>
      </w:pPr>
      <w:r w:rsidRPr="009273B1">
        <w:rPr>
          <w:rFonts w:cs="Arial"/>
          <w:bCs/>
        </w:rPr>
        <w:t>patients with a past family or personal history of substance misuse</w:t>
      </w:r>
    </w:p>
    <w:p w14:paraId="4C886909" w14:textId="0E159839" w:rsidR="009273B1" w:rsidRPr="009273B1" w:rsidRDefault="009273B1" w:rsidP="009273B1">
      <w:pPr>
        <w:pStyle w:val="ListParagraph"/>
        <w:numPr>
          <w:ilvl w:val="0"/>
          <w:numId w:val="47"/>
        </w:numPr>
        <w:spacing w:after="0"/>
        <w:rPr>
          <w:rFonts w:cs="Arial"/>
          <w:bCs/>
        </w:rPr>
      </w:pPr>
      <w:r w:rsidRPr="009273B1">
        <w:rPr>
          <w:rFonts w:cs="Arial"/>
          <w:bCs/>
        </w:rPr>
        <w:t>patients recently discharged from correctional services facility</w:t>
      </w:r>
    </w:p>
    <w:p w14:paraId="2832655F" w14:textId="6573C0DB" w:rsidR="009273B1" w:rsidRPr="009273B1" w:rsidRDefault="009273B1" w:rsidP="009273B1">
      <w:pPr>
        <w:pStyle w:val="ListParagraph"/>
        <w:numPr>
          <w:ilvl w:val="0"/>
          <w:numId w:val="47"/>
        </w:numPr>
        <w:spacing w:after="0"/>
        <w:rPr>
          <w:rFonts w:cs="Arial"/>
          <w:bCs/>
        </w:rPr>
      </w:pPr>
      <w:r w:rsidRPr="009273B1">
        <w:rPr>
          <w:rFonts w:cs="Arial"/>
          <w:bCs/>
        </w:rPr>
        <w:t>patients using drugs of dependence with serious mental health comorbidities, or antipsychotic medication</w:t>
      </w:r>
    </w:p>
    <w:p w14:paraId="3067C4F4" w14:textId="280C0710" w:rsidR="009273B1" w:rsidRPr="009273B1" w:rsidRDefault="009273B1" w:rsidP="009273B1">
      <w:pPr>
        <w:pStyle w:val="ListParagraph"/>
        <w:numPr>
          <w:ilvl w:val="0"/>
          <w:numId w:val="47"/>
        </w:numPr>
        <w:spacing w:after="0"/>
        <w:rPr>
          <w:rFonts w:cs="Arial"/>
          <w:bCs/>
        </w:rPr>
      </w:pPr>
      <w:r w:rsidRPr="009273B1">
        <w:rPr>
          <w:rFonts w:cs="Arial"/>
          <w:bCs/>
        </w:rPr>
        <w:t>patients using a mix of opioids and illicit drugs</w:t>
      </w:r>
    </w:p>
    <w:p w14:paraId="17FB9D82" w14:textId="4D5D31D1" w:rsidR="009273B1" w:rsidRDefault="009273B1" w:rsidP="009273B1">
      <w:pPr>
        <w:pStyle w:val="ListParagraph"/>
        <w:numPr>
          <w:ilvl w:val="0"/>
          <w:numId w:val="47"/>
        </w:numPr>
        <w:spacing w:after="0"/>
        <w:rPr>
          <w:rFonts w:cs="Arial"/>
          <w:bCs/>
        </w:rPr>
      </w:pPr>
      <w:proofErr w:type="gramStart"/>
      <w:r w:rsidRPr="009273B1">
        <w:rPr>
          <w:rFonts w:cs="Arial"/>
          <w:bCs/>
        </w:rPr>
        <w:t>patients</w:t>
      </w:r>
      <w:proofErr w:type="gramEnd"/>
      <w:r w:rsidRPr="009273B1">
        <w:rPr>
          <w:rFonts w:cs="Arial"/>
          <w:bCs/>
        </w:rPr>
        <w:t xml:space="preserve"> using a mix of opioids and benzodiazepines.</w:t>
      </w:r>
    </w:p>
    <w:p w14:paraId="4EAF1FD4" w14:textId="77777777" w:rsidR="009273B1" w:rsidRPr="009273B1" w:rsidRDefault="009273B1" w:rsidP="009273B1">
      <w:pPr>
        <w:pStyle w:val="ListParagraph"/>
        <w:spacing w:after="0"/>
        <w:ind w:left="360"/>
        <w:rPr>
          <w:rFonts w:cs="Arial"/>
          <w:bCs/>
        </w:rPr>
      </w:pPr>
    </w:p>
    <w:p w14:paraId="2FE62AE3" w14:textId="2AD6480A" w:rsidR="00766882" w:rsidRPr="009273B1" w:rsidRDefault="009273B1" w:rsidP="009273B1">
      <w:pPr>
        <w:spacing w:after="0"/>
        <w:contextualSpacing/>
        <w:rPr>
          <w:rFonts w:eastAsia="Times New Roman" w:cs="Arial"/>
          <w:color w:val="FF0000"/>
          <w:sz w:val="32"/>
          <w:szCs w:val="32"/>
          <w:lang w:val="en-GB" w:eastAsia="en-AU"/>
        </w:rPr>
      </w:pPr>
      <w:r w:rsidRPr="009273B1">
        <w:rPr>
          <w:rFonts w:cs="Arial"/>
          <w:bCs/>
          <w:color w:val="FF0000"/>
        </w:rPr>
        <w:t>[</w:t>
      </w:r>
      <w:r w:rsidRPr="009273B1">
        <w:rPr>
          <w:rFonts w:cs="Arial"/>
          <w:bCs/>
          <w:i/>
          <w:iCs/>
          <w:color w:val="FF0000"/>
        </w:rPr>
        <w:t>Strike out or add as required.</w:t>
      </w:r>
      <w:r w:rsidRPr="009273B1">
        <w:rPr>
          <w:rFonts w:cs="Arial"/>
          <w:bCs/>
          <w:color w:val="FF0000"/>
        </w:rPr>
        <w:t>]</w:t>
      </w:r>
    </w:p>
    <w:p w14:paraId="24217BB5" w14:textId="77777777" w:rsidR="002C4C1B" w:rsidRDefault="002C4C1B" w:rsidP="006D1284">
      <w:pPr>
        <w:spacing w:after="0"/>
        <w:contextualSpacing/>
        <w:rPr>
          <w:rFonts w:eastAsia="Times New Roman" w:cs="Arial"/>
          <w:color w:val="0070C0"/>
          <w:sz w:val="32"/>
          <w:szCs w:val="32"/>
          <w:lang w:val="en-GB" w:eastAsia="en-AU"/>
        </w:rPr>
      </w:pPr>
    </w:p>
    <w:p w14:paraId="0DEC2AB6" w14:textId="77777777" w:rsidR="00222A21" w:rsidRDefault="00222A2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875AC20" w14:textId="77777777" w:rsidR="00222A21" w:rsidRDefault="00222A2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C3E293" w14:textId="77777777" w:rsidR="00222A21" w:rsidRDefault="00222A2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02593A2C" w14:textId="77777777" w:rsidR="00222A21" w:rsidRDefault="00222A2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6F27E4B" w14:textId="77777777" w:rsidR="009273B1" w:rsidRDefault="009273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0BC5627" w14:textId="77777777" w:rsidR="009273B1" w:rsidRDefault="009273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6B89F6B" w14:textId="77777777" w:rsidR="009273B1" w:rsidRDefault="009273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FAD4C2C" w14:textId="77777777" w:rsidR="009273B1" w:rsidRDefault="009273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E863952" w14:textId="77777777" w:rsidR="009273B1" w:rsidRDefault="009273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1F096840" w14:textId="77777777" w:rsidR="009273B1" w:rsidRDefault="009273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0E9A1397" w14:textId="77777777" w:rsidR="00222A21" w:rsidRPr="0002280E" w:rsidRDefault="00222A21" w:rsidP="00222A2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The information set out in this publication is current at the date of first publication and </w:t>
      </w:r>
      <w:proofErr w:type="gramStart"/>
      <w:r w:rsidRPr="0002280E">
        <w:rPr>
          <w:rFonts w:cs="Arial"/>
          <w:sz w:val="16"/>
          <w:szCs w:val="16"/>
        </w:rPr>
        <w:t>is intended</w:t>
      </w:r>
      <w:proofErr w:type="gramEnd"/>
      <w:r w:rsidRPr="0002280E">
        <w:rPr>
          <w:rFonts w:cs="Arial"/>
          <w:sz w:val="16"/>
          <w:szCs w:val="16"/>
        </w:rPr>
        <w:t xml:space="preserve">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47EE3D47" w14:textId="77777777" w:rsidR="00222A21" w:rsidRPr="0002280E" w:rsidRDefault="00222A21" w:rsidP="00222A2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19B1BA31" w14:textId="49E0AB9C" w:rsidR="00222A21" w:rsidRPr="0002280E" w:rsidRDefault="00222A21" w:rsidP="00222A21">
      <w:pPr>
        <w:spacing w:after="0" w:line="240" w:lineRule="auto"/>
        <w:rPr>
          <w:rFonts w:cs="Arial"/>
          <w:sz w:val="16"/>
          <w:szCs w:val="16"/>
          <w:highlight w:val="yellow"/>
        </w:rPr>
      </w:pPr>
      <w:r w:rsidRPr="0002280E">
        <w:rPr>
          <w:rFonts w:cs="Arial"/>
          <w:sz w:val="16"/>
          <w:szCs w:val="16"/>
        </w:rPr>
        <w:t xml:space="preserve">© The Royal Australian College of General Practitioners </w:t>
      </w:r>
      <w:r w:rsidRPr="009273B1">
        <w:rPr>
          <w:rFonts w:cs="Arial"/>
          <w:sz w:val="16"/>
          <w:szCs w:val="16"/>
        </w:rPr>
        <w:t>[</w:t>
      </w:r>
      <w:r w:rsidR="009273B1">
        <w:rPr>
          <w:rFonts w:cs="Arial"/>
          <w:sz w:val="16"/>
          <w:szCs w:val="16"/>
        </w:rPr>
        <w:t>2019</w:t>
      </w:r>
      <w:r w:rsidRPr="009273B1">
        <w:rPr>
          <w:rFonts w:cs="Arial"/>
          <w:sz w:val="16"/>
          <w:szCs w:val="16"/>
        </w:rPr>
        <w:t>]</w:t>
      </w:r>
    </w:p>
    <w:p w14:paraId="5240A4C5" w14:textId="77777777" w:rsidR="00222A21" w:rsidRPr="0002280E" w:rsidRDefault="00222A21" w:rsidP="00222A2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14FDF189" w14:textId="77777777" w:rsidR="00222A21" w:rsidRDefault="009273B1" w:rsidP="00222A21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="00222A21" w:rsidRPr="000871B9">
          <w:rPr>
            <w:rFonts w:cs="Arial"/>
            <w:sz w:val="16"/>
            <w:szCs w:val="16"/>
          </w:rPr>
          <w:t>This</w:t>
        </w:r>
      </w:hyperlink>
      <w:r w:rsidR="00222A21" w:rsidRPr="000871B9">
        <w:rPr>
          <w:rFonts w:cs="Arial"/>
          <w:sz w:val="16"/>
          <w:szCs w:val="16"/>
        </w:rPr>
        <w:t xml:space="preserve"> resource </w:t>
      </w:r>
      <w:proofErr w:type="gramStart"/>
      <w:r w:rsidR="00222A21" w:rsidRPr="000871B9">
        <w:rPr>
          <w:rFonts w:cs="Arial"/>
          <w:sz w:val="16"/>
          <w:szCs w:val="16"/>
        </w:rPr>
        <w:t>is provided</w:t>
      </w:r>
      <w:proofErr w:type="gramEnd"/>
      <w:r w:rsidR="00222A21" w:rsidRPr="000871B9">
        <w:rPr>
          <w:rFonts w:cs="Arial"/>
          <w:sz w:val="16"/>
          <w:szCs w:val="16"/>
        </w:rPr>
        <w:t xml:space="preserve"> under licence by the RACGP. Full terms are available at </w:t>
      </w:r>
      <w:hyperlink r:id="rId10" w:history="1">
        <w:r w:rsidR="00222A21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222A21">
        <w:rPr>
          <w:rFonts w:cs="Arial"/>
          <w:sz w:val="16"/>
          <w:szCs w:val="16"/>
        </w:rPr>
        <w:t xml:space="preserve"> </w:t>
      </w:r>
    </w:p>
    <w:p w14:paraId="6D27D1AF" w14:textId="77777777" w:rsidR="00222A21" w:rsidRDefault="00222A21" w:rsidP="00222A21">
      <w:pPr>
        <w:spacing w:after="0" w:line="240" w:lineRule="auto"/>
        <w:rPr>
          <w:rFonts w:cs="Arial"/>
          <w:sz w:val="16"/>
          <w:szCs w:val="16"/>
        </w:rPr>
      </w:pPr>
    </w:p>
    <w:p w14:paraId="68AAD35B" w14:textId="4613013C" w:rsidR="00062BE7" w:rsidRPr="009273B1" w:rsidRDefault="00222A21" w:rsidP="009273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  <w:bookmarkStart w:id="0" w:name="_GoBack"/>
      <w:bookmarkEnd w:id="0"/>
    </w:p>
    <w:sectPr w:rsidR="00062BE7" w:rsidRPr="009273B1" w:rsidSect="001D0673">
      <w:headerReference w:type="default" r:id="rId11"/>
      <w:footerReference w:type="default" r:id="rId12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12D17C04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3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927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6EE"/>
    <w:multiLevelType w:val="hybridMultilevel"/>
    <w:tmpl w:val="B484DD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1FC"/>
    <w:multiLevelType w:val="hybridMultilevel"/>
    <w:tmpl w:val="96E08FE8"/>
    <w:lvl w:ilvl="0" w:tplc="D0689D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7874"/>
    <w:multiLevelType w:val="hybridMultilevel"/>
    <w:tmpl w:val="7CE4B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20E8E"/>
    <w:multiLevelType w:val="hybridMultilevel"/>
    <w:tmpl w:val="247E4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B172B"/>
    <w:multiLevelType w:val="hybridMultilevel"/>
    <w:tmpl w:val="7018C746"/>
    <w:lvl w:ilvl="0" w:tplc="38B6E922">
      <w:start w:val="9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F4604"/>
    <w:multiLevelType w:val="hybridMultilevel"/>
    <w:tmpl w:val="A82E7FC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2258B"/>
    <w:multiLevelType w:val="hybridMultilevel"/>
    <w:tmpl w:val="A736428E"/>
    <w:lvl w:ilvl="0" w:tplc="44909A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64226"/>
    <w:multiLevelType w:val="hybridMultilevel"/>
    <w:tmpl w:val="4EA46A8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B693B"/>
    <w:multiLevelType w:val="hybridMultilevel"/>
    <w:tmpl w:val="927412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B30C8"/>
    <w:multiLevelType w:val="hybridMultilevel"/>
    <w:tmpl w:val="D4822396"/>
    <w:lvl w:ilvl="0" w:tplc="14126F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B2B6E"/>
    <w:multiLevelType w:val="hybridMultilevel"/>
    <w:tmpl w:val="875E902E"/>
    <w:lvl w:ilvl="0" w:tplc="FE942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758D6"/>
    <w:multiLevelType w:val="hybridMultilevel"/>
    <w:tmpl w:val="07FE11D0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9359C"/>
    <w:multiLevelType w:val="hybridMultilevel"/>
    <w:tmpl w:val="D3AE613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158C0"/>
    <w:multiLevelType w:val="hybridMultilevel"/>
    <w:tmpl w:val="273EF2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233782"/>
    <w:multiLevelType w:val="hybridMultilevel"/>
    <w:tmpl w:val="83DADB7A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EE4B00"/>
    <w:multiLevelType w:val="hybridMultilevel"/>
    <w:tmpl w:val="E3049D0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14EF4"/>
    <w:multiLevelType w:val="hybridMultilevel"/>
    <w:tmpl w:val="7EC026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87FA01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25216C"/>
    <w:multiLevelType w:val="hybridMultilevel"/>
    <w:tmpl w:val="EB3637E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666DC2"/>
    <w:multiLevelType w:val="hybridMultilevel"/>
    <w:tmpl w:val="EE5A7AB6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A313D"/>
    <w:multiLevelType w:val="hybridMultilevel"/>
    <w:tmpl w:val="5F70E0C0"/>
    <w:lvl w:ilvl="0" w:tplc="0C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613414"/>
    <w:multiLevelType w:val="hybridMultilevel"/>
    <w:tmpl w:val="2C12372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D36F5"/>
    <w:multiLevelType w:val="hybridMultilevel"/>
    <w:tmpl w:val="09FA060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30E93"/>
    <w:multiLevelType w:val="hybridMultilevel"/>
    <w:tmpl w:val="7EF6170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B35C0"/>
    <w:multiLevelType w:val="hybridMultilevel"/>
    <w:tmpl w:val="9048C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64BAB"/>
    <w:multiLevelType w:val="hybridMultilevel"/>
    <w:tmpl w:val="0388F3E4"/>
    <w:lvl w:ilvl="0" w:tplc="57CA5B3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738CC"/>
    <w:multiLevelType w:val="hybridMultilevel"/>
    <w:tmpl w:val="6652B0A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1169FC"/>
    <w:multiLevelType w:val="hybridMultilevel"/>
    <w:tmpl w:val="FCB8B71E"/>
    <w:lvl w:ilvl="0" w:tplc="6916D7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2167F"/>
    <w:multiLevelType w:val="hybridMultilevel"/>
    <w:tmpl w:val="588EC220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2D25B7"/>
    <w:multiLevelType w:val="hybridMultilevel"/>
    <w:tmpl w:val="25801D04"/>
    <w:lvl w:ilvl="0" w:tplc="C23C00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D0AEA"/>
    <w:multiLevelType w:val="hybridMultilevel"/>
    <w:tmpl w:val="B05AE7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79226B"/>
    <w:multiLevelType w:val="hybridMultilevel"/>
    <w:tmpl w:val="433CDF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27C73"/>
    <w:multiLevelType w:val="hybridMultilevel"/>
    <w:tmpl w:val="FEB27E2A"/>
    <w:lvl w:ilvl="0" w:tplc="0A7CB01E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256C5"/>
    <w:multiLevelType w:val="hybridMultilevel"/>
    <w:tmpl w:val="0EDEC38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82DD0"/>
    <w:multiLevelType w:val="hybridMultilevel"/>
    <w:tmpl w:val="95C2A77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84A9C"/>
    <w:multiLevelType w:val="hybridMultilevel"/>
    <w:tmpl w:val="07AA516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40C"/>
    <w:multiLevelType w:val="hybridMultilevel"/>
    <w:tmpl w:val="A912C144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10B45"/>
    <w:multiLevelType w:val="hybridMultilevel"/>
    <w:tmpl w:val="7EC026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87FA01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F0061E"/>
    <w:multiLevelType w:val="hybridMultilevel"/>
    <w:tmpl w:val="7570E9A2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44"/>
  </w:num>
  <w:num w:numId="2">
    <w:abstractNumId w:val="27"/>
  </w:num>
  <w:num w:numId="3">
    <w:abstractNumId w:val="34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"/>
  </w:num>
  <w:num w:numId="7">
    <w:abstractNumId w:val="39"/>
  </w:num>
  <w:num w:numId="8">
    <w:abstractNumId w:val="38"/>
  </w:num>
  <w:num w:numId="9">
    <w:abstractNumId w:val="22"/>
  </w:num>
  <w:num w:numId="10">
    <w:abstractNumId w:val="32"/>
  </w:num>
  <w:num w:numId="11">
    <w:abstractNumId w:val="3"/>
  </w:num>
  <w:num w:numId="12">
    <w:abstractNumId w:val="46"/>
  </w:num>
  <w:num w:numId="13">
    <w:abstractNumId w:val="19"/>
  </w:num>
  <w:num w:numId="14">
    <w:abstractNumId w:val="12"/>
  </w:num>
  <w:num w:numId="15">
    <w:abstractNumId w:val="43"/>
  </w:num>
  <w:num w:numId="16">
    <w:abstractNumId w:val="6"/>
  </w:num>
  <w:num w:numId="17">
    <w:abstractNumId w:val="45"/>
  </w:num>
  <w:num w:numId="18">
    <w:abstractNumId w:val="1"/>
  </w:num>
  <w:num w:numId="19">
    <w:abstractNumId w:val="33"/>
  </w:num>
  <w:num w:numId="20">
    <w:abstractNumId w:val="0"/>
  </w:num>
  <w:num w:numId="21">
    <w:abstractNumId w:val="40"/>
  </w:num>
  <w:num w:numId="22">
    <w:abstractNumId w:val="15"/>
  </w:num>
  <w:num w:numId="23">
    <w:abstractNumId w:val="5"/>
  </w:num>
  <w:num w:numId="24">
    <w:abstractNumId w:val="30"/>
  </w:num>
  <w:num w:numId="25">
    <w:abstractNumId w:val="37"/>
  </w:num>
  <w:num w:numId="26">
    <w:abstractNumId w:val="23"/>
  </w:num>
  <w:num w:numId="27">
    <w:abstractNumId w:val="41"/>
  </w:num>
  <w:num w:numId="28">
    <w:abstractNumId w:val="7"/>
  </w:num>
  <w:num w:numId="29">
    <w:abstractNumId w:val="8"/>
  </w:num>
  <w:num w:numId="30">
    <w:abstractNumId w:val="28"/>
  </w:num>
  <w:num w:numId="31">
    <w:abstractNumId w:val="31"/>
  </w:num>
  <w:num w:numId="32">
    <w:abstractNumId w:val="24"/>
  </w:num>
  <w:num w:numId="33">
    <w:abstractNumId w:val="21"/>
  </w:num>
  <w:num w:numId="34">
    <w:abstractNumId w:val="10"/>
  </w:num>
  <w:num w:numId="35">
    <w:abstractNumId w:val="16"/>
  </w:num>
  <w:num w:numId="36">
    <w:abstractNumId w:val="35"/>
  </w:num>
  <w:num w:numId="37">
    <w:abstractNumId w:val="17"/>
  </w:num>
  <w:num w:numId="38">
    <w:abstractNumId w:val="20"/>
  </w:num>
  <w:num w:numId="39">
    <w:abstractNumId w:val="9"/>
  </w:num>
  <w:num w:numId="40">
    <w:abstractNumId w:val="14"/>
  </w:num>
  <w:num w:numId="41">
    <w:abstractNumId w:val="26"/>
  </w:num>
  <w:num w:numId="42">
    <w:abstractNumId w:val="42"/>
  </w:num>
  <w:num w:numId="43">
    <w:abstractNumId w:val="18"/>
  </w:num>
  <w:num w:numId="44">
    <w:abstractNumId w:val="11"/>
  </w:num>
  <w:num w:numId="45">
    <w:abstractNumId w:val="13"/>
  </w:num>
  <w:num w:numId="46">
    <w:abstractNumId w:val="25"/>
  </w:num>
  <w:num w:numId="47">
    <w:abstractNumId w:val="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0A44B9"/>
    <w:rsid w:val="00120180"/>
    <w:rsid w:val="001D0673"/>
    <w:rsid w:val="00222A21"/>
    <w:rsid w:val="002C4C1B"/>
    <w:rsid w:val="003736FB"/>
    <w:rsid w:val="003A7CE5"/>
    <w:rsid w:val="00401558"/>
    <w:rsid w:val="004416A5"/>
    <w:rsid w:val="00456574"/>
    <w:rsid w:val="00465E70"/>
    <w:rsid w:val="004A430C"/>
    <w:rsid w:val="005B1E07"/>
    <w:rsid w:val="005D3E10"/>
    <w:rsid w:val="006D1284"/>
    <w:rsid w:val="0071358B"/>
    <w:rsid w:val="00766882"/>
    <w:rsid w:val="008168BD"/>
    <w:rsid w:val="008509BF"/>
    <w:rsid w:val="008C7DFE"/>
    <w:rsid w:val="009273B1"/>
    <w:rsid w:val="00A4502D"/>
    <w:rsid w:val="00B144DE"/>
    <w:rsid w:val="00BF419D"/>
    <w:rsid w:val="00DC30E8"/>
    <w:rsid w:val="00DC6EE1"/>
    <w:rsid w:val="00E24909"/>
    <w:rsid w:val="00E42E04"/>
    <w:rsid w:val="00E94D6E"/>
    <w:rsid w:val="00F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Mahala Boughton</cp:lastModifiedBy>
  <cp:revision>3</cp:revision>
  <dcterms:created xsi:type="dcterms:W3CDTF">2019-07-02T01:42:00Z</dcterms:created>
  <dcterms:modified xsi:type="dcterms:W3CDTF">2019-07-02T01:46:00Z</dcterms:modified>
</cp:coreProperties>
</file>