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5C7A9B80" w:rsidR="002C4C1B" w:rsidRDefault="007913F3" w:rsidP="007913F3">
      <w:pPr>
        <w:rPr>
          <w:rFonts w:ascii="Georgia" w:hAnsi="Georgia" w:cs="Adobe Devanagari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Handover of patients in medium- and high-complexity groups with regard to drugs of dependence </w:t>
      </w:r>
      <w:r w:rsidR="00E42E04">
        <w:rPr>
          <w:rFonts w:ascii="Georgia" w:hAnsi="Georgia" w:cs="Adobe Devanagari"/>
          <w:i/>
          <w:color w:val="000000" w:themeColor="text1"/>
          <w:sz w:val="32"/>
          <w:szCs w:val="32"/>
        </w:rPr>
        <w:t>practice policy template</w:t>
      </w:r>
    </w:p>
    <w:p w14:paraId="5382850D" w14:textId="77777777" w:rsidR="007913F3" w:rsidRDefault="007913F3" w:rsidP="002C4C1B">
      <w:pPr>
        <w:rPr>
          <w:rFonts w:cs="Arial"/>
          <w:color w:val="000000" w:themeColor="text1"/>
          <w:szCs w:val="20"/>
        </w:rPr>
      </w:pPr>
      <w:r w:rsidRPr="007913F3">
        <w:rPr>
          <w:rFonts w:cs="Arial"/>
          <w:color w:val="000000" w:themeColor="text1"/>
          <w:szCs w:val="20"/>
        </w:rPr>
        <w:t>To clarify the management of patients in various risk categories with regard to drugs of dependence.</w:t>
      </w:r>
    </w:p>
    <w:p w14:paraId="11B9B7DB" w14:textId="77777777" w:rsidR="00D61A3E" w:rsidRPr="00483679" w:rsidRDefault="00D61A3E" w:rsidP="00D61A3E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6B626F6E" w14:textId="7726EABB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7913F3">
        <w:rPr>
          <w:rFonts w:cs="Arial"/>
          <w:color w:val="0070C0"/>
          <w:sz w:val="36"/>
          <w:szCs w:val="24"/>
          <w:lang w:val="en-GB"/>
        </w:rPr>
        <w:t xml:space="preserve">‘s handover of patients in medium- and high-complexity groups with regard to drugs of dependence policy </w:t>
      </w:r>
    </w:p>
    <w:p w14:paraId="744E29A0" w14:textId="77777777" w:rsidR="00766882" w:rsidRDefault="00766882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70018EC5" w14:textId="7650227F" w:rsidR="00BF419D" w:rsidRDefault="006D1284" w:rsidP="006D1284">
      <w:pPr>
        <w:spacing w:after="0"/>
        <w:rPr>
          <w:rFonts w:cs="Arial"/>
          <w:bCs/>
        </w:rPr>
      </w:pPr>
      <w:r>
        <w:rPr>
          <w:rFonts w:cs="Arial"/>
          <w:bCs/>
          <w:lang w:val="en-GB"/>
        </w:rPr>
        <w:t>This pol</w:t>
      </w:r>
      <w:r w:rsidR="00BF419D">
        <w:rPr>
          <w:rFonts w:cs="Arial"/>
          <w:bCs/>
          <w:lang w:val="en-GB"/>
        </w:rPr>
        <w:t xml:space="preserve">icy </w:t>
      </w:r>
      <w:r w:rsidR="002C4C1B" w:rsidRPr="002C4C1B">
        <w:rPr>
          <w:rFonts w:cs="Arial"/>
          <w:bCs/>
          <w:lang w:val="en-GB"/>
        </w:rPr>
        <w:t>inform</w:t>
      </w:r>
      <w:r w:rsidR="002C4C1B">
        <w:rPr>
          <w:rFonts w:cs="Arial"/>
          <w:bCs/>
          <w:lang w:val="en-GB"/>
        </w:rPr>
        <w:t>s</w:t>
      </w:r>
      <w:r w:rsidR="002C4C1B" w:rsidRPr="002C4C1B">
        <w:rPr>
          <w:rFonts w:cs="Arial"/>
          <w:bCs/>
          <w:lang w:val="en-GB"/>
        </w:rPr>
        <w:t xml:space="preserve"> </w:t>
      </w:r>
      <w:r w:rsidR="00766882">
        <w:rPr>
          <w:rFonts w:cs="Arial"/>
          <w:bCs/>
          <w:lang w:val="en-GB"/>
        </w:rPr>
        <w:t xml:space="preserve">practice staff </w:t>
      </w:r>
      <w:r w:rsidR="00814B39">
        <w:rPr>
          <w:rFonts w:cs="Arial"/>
          <w:bCs/>
        </w:rPr>
        <w:t>of</w:t>
      </w:r>
      <w:r w:rsidR="00814B39" w:rsidRPr="00814B39">
        <w:rPr>
          <w:rFonts w:cs="Arial"/>
          <w:bCs/>
        </w:rPr>
        <w:t xml:space="preserve"> the management of patients in various risk categories with regard to drugs of dependence.</w:t>
      </w:r>
    </w:p>
    <w:p w14:paraId="325441E5" w14:textId="77777777" w:rsidR="00814B39" w:rsidRDefault="00814B39" w:rsidP="006D1284">
      <w:pPr>
        <w:spacing w:after="0"/>
        <w:rPr>
          <w:rFonts w:cs="Arial"/>
          <w:bCs/>
          <w:lang w:val="en-GB"/>
        </w:rPr>
      </w:pPr>
    </w:p>
    <w:p w14:paraId="75330462" w14:textId="72CECDFF" w:rsidR="00814B39" w:rsidRDefault="00814B39" w:rsidP="00814B39">
      <w:pPr>
        <w:spacing w:after="0"/>
        <w:contextualSpacing/>
        <w:rPr>
          <w:rFonts w:eastAsia="Times New Roman" w:cs="Arial"/>
          <w:lang w:eastAsia="en-AU"/>
        </w:rPr>
      </w:pPr>
      <w:r w:rsidRPr="00814B39">
        <w:rPr>
          <w:rFonts w:eastAsia="Times New Roman" w:cs="Arial"/>
          <w:lang w:eastAsia="en-AU"/>
        </w:rPr>
        <w:t xml:space="preserve">It is our practice policy that all </w:t>
      </w:r>
      <w:r w:rsidR="000C2736">
        <w:rPr>
          <w:rFonts w:eastAsia="Times New Roman" w:cs="Arial"/>
          <w:lang w:eastAsia="en-AU"/>
        </w:rPr>
        <w:t>patients</w:t>
      </w:r>
      <w:r w:rsidRPr="00814B39">
        <w:rPr>
          <w:rFonts w:eastAsia="Times New Roman" w:cs="Arial"/>
          <w:lang w:eastAsia="en-AU"/>
        </w:rPr>
        <w:t xml:space="preserve"> regularly using drugs of dependence have their problems/needs assessed</w:t>
      </w:r>
      <w:r>
        <w:rPr>
          <w:rFonts w:eastAsia="Times New Roman" w:cs="Arial"/>
          <w:lang w:eastAsia="en-AU"/>
        </w:rPr>
        <w:t xml:space="preserve"> </w:t>
      </w:r>
      <w:r w:rsidRPr="00814B39">
        <w:rPr>
          <w:rFonts w:eastAsia="Times New Roman" w:cs="Arial"/>
          <w:lang w:eastAsia="en-AU"/>
        </w:rPr>
        <w:t>based on levels of complexity (ie lo</w:t>
      </w:r>
      <w:r w:rsidR="000C2736">
        <w:rPr>
          <w:rFonts w:eastAsia="Times New Roman" w:cs="Arial"/>
          <w:lang w:eastAsia="en-AU"/>
        </w:rPr>
        <w:t xml:space="preserve">w, medium or high). Patients in </w:t>
      </w:r>
      <w:r w:rsidRPr="00814B39">
        <w:rPr>
          <w:rFonts w:eastAsia="Times New Roman" w:cs="Arial"/>
          <w:lang w:eastAsia="en-AU"/>
        </w:rPr>
        <w:t>medium- or high-complexity groups should have</w:t>
      </w:r>
      <w:r>
        <w:rPr>
          <w:rFonts w:eastAsia="Times New Roman" w:cs="Arial"/>
          <w:lang w:eastAsia="en-AU"/>
        </w:rPr>
        <w:t xml:space="preserve"> </w:t>
      </w:r>
      <w:r w:rsidRPr="00814B39">
        <w:rPr>
          <w:rFonts w:eastAsia="Times New Roman" w:cs="Arial"/>
          <w:lang w:eastAsia="en-AU"/>
        </w:rPr>
        <w:t>an appropriate spe</w:t>
      </w:r>
      <w:r w:rsidR="000C2736">
        <w:rPr>
          <w:rFonts w:eastAsia="Times New Roman" w:cs="Arial"/>
          <w:lang w:eastAsia="en-AU"/>
        </w:rPr>
        <w:t xml:space="preserve">cialist review. Practice policy </w:t>
      </w:r>
      <w:r w:rsidRPr="00814B39">
        <w:rPr>
          <w:rFonts w:eastAsia="Times New Roman" w:cs="Arial"/>
          <w:lang w:eastAsia="en-AU"/>
        </w:rPr>
        <w:t>requires that patients with medium- or high-complexity problems are</w:t>
      </w:r>
      <w:r>
        <w:rPr>
          <w:rFonts w:eastAsia="Times New Roman" w:cs="Arial"/>
          <w:lang w:eastAsia="en-AU"/>
        </w:rPr>
        <w:t xml:space="preserve"> </w:t>
      </w:r>
      <w:r w:rsidRPr="00814B39">
        <w:rPr>
          <w:rFonts w:eastAsia="Times New Roman" w:cs="Arial"/>
          <w:lang w:eastAsia="en-AU"/>
        </w:rPr>
        <w:t>managed in a manner consistent with the universal precautions of pain medicine. That is:</w:t>
      </w:r>
    </w:p>
    <w:p w14:paraId="4C5C6994" w14:textId="77777777" w:rsidR="00814B39" w:rsidRPr="00814B39" w:rsidRDefault="00814B39" w:rsidP="00814B39">
      <w:pPr>
        <w:spacing w:after="0"/>
        <w:contextualSpacing/>
        <w:rPr>
          <w:rFonts w:eastAsia="Times New Roman" w:cs="Arial"/>
          <w:lang w:eastAsia="en-AU"/>
        </w:rPr>
      </w:pPr>
    </w:p>
    <w:p w14:paraId="413C2108" w14:textId="4B9072AA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a clear diagnosis and reasons for prescription are documented</w:t>
      </w:r>
    </w:p>
    <w:p w14:paraId="3ACC0C71" w14:textId="6A2DA2BF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a full psychosocial assessment is conducted including risk of addictive disorders</w:t>
      </w:r>
    </w:p>
    <w:p w14:paraId="41063167" w14:textId="43A5094F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informed consent for treatment plans is used</w:t>
      </w:r>
    </w:p>
    <w:p w14:paraId="25A21AE8" w14:textId="77CAB2A1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pre- and post-intervention assessment of pain level and function is undertaken</w:t>
      </w:r>
    </w:p>
    <w:p w14:paraId="56EEEBA1" w14:textId="4FE170C1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opioid therapy +/</w:t>
      </w:r>
      <w:r w:rsidRPr="00E66851">
        <w:rPr>
          <w:rFonts w:eastAsia="Times New Roman" w:cs="Arial" w:hint="eastAsia"/>
          <w:lang w:eastAsia="en-AU"/>
        </w:rPr>
        <w:t>–</w:t>
      </w:r>
      <w:r w:rsidRPr="00E66851">
        <w:rPr>
          <w:rFonts w:eastAsia="Times New Roman" w:cs="Arial"/>
          <w:lang w:eastAsia="en-AU"/>
        </w:rPr>
        <w:t xml:space="preserve"> adjunctive medication is commenced on a trial basis</w:t>
      </w:r>
    </w:p>
    <w:p w14:paraId="26D265EB" w14:textId="1F0577B2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levels of pain and function are constantly assessed</w:t>
      </w:r>
    </w:p>
    <w:p w14:paraId="44D13175" w14:textId="53DF7989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 xml:space="preserve">the </w:t>
      </w:r>
      <w:r w:rsidRPr="00E66851">
        <w:rPr>
          <w:rFonts w:eastAsia="Times New Roman" w:cs="Arial" w:hint="eastAsia"/>
          <w:lang w:eastAsia="en-AU"/>
        </w:rPr>
        <w:t>‘</w:t>
      </w:r>
      <w:r w:rsidRPr="00E66851">
        <w:rPr>
          <w:rFonts w:eastAsia="Times New Roman" w:cs="Arial"/>
          <w:lang w:eastAsia="en-AU"/>
        </w:rPr>
        <w:t>five As</w:t>
      </w:r>
      <w:r w:rsidRPr="00E66851">
        <w:rPr>
          <w:rFonts w:eastAsia="Times New Roman" w:cs="Arial" w:hint="eastAsia"/>
          <w:lang w:eastAsia="en-AU"/>
        </w:rPr>
        <w:t>’</w:t>
      </w:r>
      <w:r w:rsidRPr="00E66851">
        <w:rPr>
          <w:rFonts w:eastAsia="Times New Roman" w:cs="Arial"/>
          <w:lang w:eastAsia="en-AU"/>
        </w:rPr>
        <w:t xml:space="preserve"> of pain medicine (analgesia, activity, adverse events, aberr</w:t>
      </w:r>
      <w:r w:rsidR="000C2736" w:rsidRPr="00E66851">
        <w:rPr>
          <w:rFonts w:eastAsia="Times New Roman" w:cs="Arial"/>
          <w:lang w:eastAsia="en-AU"/>
        </w:rPr>
        <w:t xml:space="preserve">ant behaviour, affect) are </w:t>
      </w:r>
      <w:r w:rsidRPr="00E66851">
        <w:rPr>
          <w:rFonts w:eastAsia="Times New Roman" w:cs="Arial"/>
          <w:lang w:eastAsia="en-AU"/>
        </w:rPr>
        <w:t>constantly</w:t>
      </w:r>
      <w:r w:rsidR="000C2736" w:rsidRPr="00E66851">
        <w:rPr>
          <w:rFonts w:eastAsia="Times New Roman" w:cs="Arial"/>
          <w:lang w:eastAsia="en-AU"/>
        </w:rPr>
        <w:t xml:space="preserve"> </w:t>
      </w:r>
      <w:r w:rsidRPr="00E66851">
        <w:rPr>
          <w:rFonts w:eastAsia="Times New Roman" w:cs="Arial"/>
          <w:lang w:eastAsia="en-AU"/>
        </w:rPr>
        <w:t>assessed</w:t>
      </w:r>
    </w:p>
    <w:p w14:paraId="28633C62" w14:textId="3D05D2FD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the diagnosis is periodically reviewed and comorbidities are managed appropriately</w:t>
      </w:r>
    </w:p>
    <w:p w14:paraId="02103E24" w14:textId="32EFD53F" w:rsidR="00814B39" w:rsidRPr="00E66851" w:rsidRDefault="00814B39" w:rsidP="00E66851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the level of documentation standards needs to be high.</w:t>
      </w:r>
    </w:p>
    <w:p w14:paraId="71D3852A" w14:textId="77777777" w:rsidR="000C2736" w:rsidRDefault="000C2736" w:rsidP="00814B39">
      <w:pPr>
        <w:spacing w:after="0"/>
        <w:contextualSpacing/>
        <w:rPr>
          <w:rFonts w:eastAsia="Times New Roman" w:cs="Arial"/>
          <w:lang w:eastAsia="en-AU"/>
        </w:rPr>
      </w:pPr>
    </w:p>
    <w:p w14:paraId="2FE62AE3" w14:textId="5E194F47" w:rsidR="00766882" w:rsidRDefault="00814B39" w:rsidP="00814B39">
      <w:pPr>
        <w:spacing w:after="0"/>
        <w:contextualSpacing/>
        <w:rPr>
          <w:rFonts w:eastAsia="Times New Roman" w:cs="Arial"/>
          <w:lang w:eastAsia="en-AU"/>
        </w:rPr>
      </w:pPr>
      <w:r w:rsidRPr="00814B39">
        <w:rPr>
          <w:rFonts w:eastAsia="Times New Roman" w:cs="Arial"/>
          <w:lang w:eastAsia="en-AU"/>
        </w:rPr>
        <w:t>These practice standards are required to ensure the ongoing provision of care in the event of the absence of the</w:t>
      </w:r>
      <w:r w:rsidR="000C2736">
        <w:rPr>
          <w:rFonts w:eastAsia="Times New Roman" w:cs="Arial"/>
          <w:lang w:eastAsia="en-AU"/>
        </w:rPr>
        <w:t xml:space="preserve"> </w:t>
      </w:r>
      <w:r w:rsidRPr="00814B39">
        <w:rPr>
          <w:rFonts w:eastAsia="Times New Roman" w:cs="Arial"/>
          <w:lang w:eastAsia="en-AU"/>
        </w:rPr>
        <w:t>patient</w:t>
      </w:r>
      <w:r w:rsidRPr="00814B39">
        <w:rPr>
          <w:rFonts w:eastAsia="Times New Roman" w:cs="Arial" w:hint="eastAsia"/>
          <w:lang w:eastAsia="en-AU"/>
        </w:rPr>
        <w:t>’</w:t>
      </w:r>
      <w:r w:rsidRPr="00814B39">
        <w:rPr>
          <w:rFonts w:eastAsia="Times New Roman" w:cs="Arial"/>
          <w:lang w:eastAsia="en-AU"/>
        </w:rPr>
        <w:t>s usual doctor.</w:t>
      </w:r>
    </w:p>
    <w:p w14:paraId="3F431D44" w14:textId="77777777" w:rsidR="000C2736" w:rsidRDefault="000C2736" w:rsidP="000C2736">
      <w:pPr>
        <w:spacing w:after="0"/>
        <w:contextualSpacing/>
        <w:rPr>
          <w:rFonts w:eastAsia="Times New Roman" w:cs="Arial"/>
          <w:lang w:eastAsia="en-AU"/>
        </w:rPr>
      </w:pPr>
    </w:p>
    <w:p w14:paraId="01559956" w14:textId="469E3B5D" w:rsidR="000C2736" w:rsidRDefault="000C2736" w:rsidP="000C2736">
      <w:pPr>
        <w:spacing w:after="0"/>
        <w:contextualSpacing/>
        <w:rPr>
          <w:rFonts w:eastAsia="Times New Roman" w:cs="Arial"/>
          <w:lang w:eastAsia="en-AU"/>
        </w:rPr>
      </w:pPr>
      <w:r w:rsidRPr="000C2736">
        <w:rPr>
          <w:rFonts w:eastAsia="Times New Roman" w:cs="Arial"/>
          <w:lang w:eastAsia="en-AU"/>
        </w:rPr>
        <w:t>With respect to new patients presenting to the practice, or being referred by other agencies, it is our practice policy</w:t>
      </w:r>
      <w:r>
        <w:rPr>
          <w:rFonts w:eastAsia="Times New Roman" w:cs="Arial"/>
          <w:lang w:eastAsia="en-AU"/>
        </w:rPr>
        <w:t xml:space="preserve"> </w:t>
      </w:r>
      <w:r w:rsidRPr="000C2736">
        <w:rPr>
          <w:rFonts w:eastAsia="Times New Roman" w:cs="Arial"/>
          <w:lang w:eastAsia="en-AU"/>
        </w:rPr>
        <w:t>that:</w:t>
      </w:r>
    </w:p>
    <w:p w14:paraId="6E91597F" w14:textId="77777777" w:rsidR="000C2736" w:rsidRPr="000C2736" w:rsidRDefault="000C2736" w:rsidP="000C2736">
      <w:pPr>
        <w:spacing w:after="0"/>
        <w:contextualSpacing/>
        <w:rPr>
          <w:rFonts w:eastAsia="Times New Roman" w:cs="Arial"/>
          <w:lang w:eastAsia="en-AU"/>
        </w:rPr>
      </w:pPr>
    </w:p>
    <w:p w14:paraId="71B70ABC" w14:textId="41DDDF3D" w:rsidR="000C2736" w:rsidRPr="00E66851" w:rsidRDefault="000C2736" w:rsidP="00E66851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>The practice reserves the right not to accept these patients if either the practice or the practitioner is of the view that the current treatment plan is inconsistent with evidence-based guidelines, and the level of complexity exceeds the practice</w:t>
      </w:r>
      <w:r w:rsidRPr="00E66851">
        <w:rPr>
          <w:rFonts w:eastAsia="Times New Roman" w:cs="Arial" w:hint="eastAsia"/>
          <w:lang w:eastAsia="en-AU"/>
        </w:rPr>
        <w:t>’</w:t>
      </w:r>
      <w:r w:rsidRPr="00E66851">
        <w:rPr>
          <w:rFonts w:eastAsia="Times New Roman" w:cs="Arial"/>
          <w:lang w:eastAsia="en-AU"/>
        </w:rPr>
        <w:t>s capacity to manage the patient.</w:t>
      </w:r>
    </w:p>
    <w:p w14:paraId="35ACDFF5" w14:textId="77777777" w:rsidR="000C2736" w:rsidRPr="000C2736" w:rsidRDefault="000C2736" w:rsidP="000C2736">
      <w:pPr>
        <w:spacing w:after="0"/>
        <w:contextualSpacing/>
        <w:rPr>
          <w:rFonts w:eastAsia="Times New Roman" w:cs="Arial"/>
          <w:lang w:eastAsia="en-AU"/>
        </w:rPr>
      </w:pPr>
    </w:p>
    <w:p w14:paraId="4EA4B5B0" w14:textId="014A43ED" w:rsidR="000C2736" w:rsidRPr="00E66851" w:rsidRDefault="000C2736" w:rsidP="00E66851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lang w:eastAsia="en-AU"/>
        </w:rPr>
      </w:pPr>
      <w:r w:rsidRPr="00E66851">
        <w:rPr>
          <w:rFonts w:eastAsia="Times New Roman" w:cs="Arial"/>
          <w:lang w:eastAsia="en-AU"/>
        </w:rPr>
        <w:t xml:space="preserve">If a doctor feels that a referral letter from an external agency does not meet handover standards, then communication should be sent to the original referrer seeking additional information (refer to </w:t>
      </w:r>
      <w:r w:rsidRPr="00E66851">
        <w:rPr>
          <w:rFonts w:eastAsia="Times New Roman" w:cs="Arial"/>
          <w:i/>
          <w:iCs/>
          <w:lang w:eastAsia="en-AU"/>
        </w:rPr>
        <w:t xml:space="preserve">Appendix E.2 </w:t>
      </w:r>
      <w:r w:rsidRPr="00E66851">
        <w:rPr>
          <w:rFonts w:eastAsia="Times New Roman" w:cs="Arial"/>
          <w:iCs/>
          <w:lang w:eastAsia="en-AU"/>
        </w:rPr>
        <w:t xml:space="preserve">of the RACGPs </w:t>
      </w:r>
      <w:r w:rsidRPr="00E66851">
        <w:rPr>
          <w:rFonts w:eastAsia="Times New Roman" w:cs="Arial"/>
          <w:i/>
          <w:iCs/>
          <w:lang w:eastAsia="en-AU"/>
        </w:rPr>
        <w:t>Prescribing drugs of dependence in general practice, Part A</w:t>
      </w:r>
      <w:r w:rsidRPr="00E66851">
        <w:rPr>
          <w:rFonts w:eastAsia="Times New Roman" w:cs="Arial"/>
          <w:lang w:eastAsia="en-AU"/>
        </w:rPr>
        <w:t>).</w:t>
      </w:r>
    </w:p>
    <w:p w14:paraId="24217BB5" w14:textId="77777777" w:rsidR="002C4C1B" w:rsidRDefault="002C4C1B" w:rsidP="006D1284">
      <w:pPr>
        <w:spacing w:after="0"/>
        <w:contextualSpacing/>
        <w:rPr>
          <w:rFonts w:eastAsia="Times New Roman" w:cs="Arial"/>
          <w:color w:val="0070C0"/>
          <w:sz w:val="32"/>
          <w:szCs w:val="32"/>
          <w:lang w:val="en-GB" w:eastAsia="en-AU"/>
        </w:rPr>
      </w:pPr>
    </w:p>
    <w:p w14:paraId="737D85B3" w14:textId="77777777" w:rsidR="000C2736" w:rsidRDefault="000C2736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F9F85CE" w14:textId="77777777" w:rsidR="000C2736" w:rsidRDefault="000C2736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5AF922D9" w14:textId="77777777" w:rsidR="000B4C1F" w:rsidRPr="0002280E" w:rsidRDefault="000B4C1F" w:rsidP="000B4C1F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22BAD273" w14:textId="77777777" w:rsidR="000B4C1F" w:rsidRPr="0002280E" w:rsidRDefault="000B4C1F" w:rsidP="000B4C1F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742843AA" w14:textId="67910DED" w:rsidR="000B4C1F" w:rsidRPr="0002280E" w:rsidRDefault="000B4C1F" w:rsidP="000B4C1F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="000A3602">
        <w:rPr>
          <w:rFonts w:cs="Arial"/>
          <w:sz w:val="16"/>
          <w:szCs w:val="16"/>
          <w:highlight w:val="yellow"/>
        </w:rPr>
        <w:t>[</w:t>
      </w:r>
      <w:r w:rsidR="000A3602" w:rsidRPr="000A3602">
        <w:rPr>
          <w:rFonts w:cs="Arial"/>
          <w:sz w:val="16"/>
          <w:szCs w:val="16"/>
        </w:rPr>
        <w:t>2019</w:t>
      </w:r>
      <w:r w:rsidRPr="000A3602">
        <w:rPr>
          <w:rFonts w:cs="Arial"/>
          <w:sz w:val="16"/>
          <w:szCs w:val="16"/>
        </w:rPr>
        <w:t>]</w:t>
      </w:r>
    </w:p>
    <w:p w14:paraId="47B8D24F" w14:textId="77777777" w:rsidR="000B4C1F" w:rsidRPr="0002280E" w:rsidRDefault="000B4C1F" w:rsidP="000B4C1F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868FCCA" w14:textId="77777777" w:rsidR="000B4C1F" w:rsidRDefault="00FB7AAE" w:rsidP="000B4C1F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0B4C1F" w:rsidRPr="000871B9">
          <w:rPr>
            <w:rFonts w:cs="Arial"/>
            <w:sz w:val="16"/>
            <w:szCs w:val="16"/>
          </w:rPr>
          <w:t>This</w:t>
        </w:r>
      </w:hyperlink>
      <w:r w:rsidR="000B4C1F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10" w:history="1">
        <w:r w:rsidR="000B4C1F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0B4C1F">
        <w:rPr>
          <w:rFonts w:cs="Arial"/>
          <w:sz w:val="16"/>
          <w:szCs w:val="16"/>
        </w:rPr>
        <w:t xml:space="preserve"> </w:t>
      </w:r>
    </w:p>
    <w:p w14:paraId="0EB68DEE" w14:textId="77777777" w:rsidR="000B4C1F" w:rsidRDefault="000B4C1F" w:rsidP="000B4C1F">
      <w:pPr>
        <w:spacing w:after="0" w:line="240" w:lineRule="auto"/>
        <w:rPr>
          <w:rFonts w:cs="Arial"/>
          <w:sz w:val="16"/>
          <w:szCs w:val="16"/>
        </w:rPr>
      </w:pPr>
    </w:p>
    <w:p w14:paraId="0C6F8DF3" w14:textId="77777777" w:rsidR="000B4C1F" w:rsidRPr="0002280E" w:rsidRDefault="000B4C1F" w:rsidP="000B4C1F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8AAD35B" w14:textId="40CF28A2" w:rsidR="00062BE7" w:rsidRPr="006D1284" w:rsidRDefault="00062BE7" w:rsidP="006D1284"/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3A5C16E2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FB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2E91"/>
    <w:multiLevelType w:val="hybridMultilevel"/>
    <w:tmpl w:val="43E05FBC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0283"/>
    <w:multiLevelType w:val="hybridMultilevel"/>
    <w:tmpl w:val="1E10A872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0A3602"/>
    <w:rsid w:val="000A44B9"/>
    <w:rsid w:val="000B4C1F"/>
    <w:rsid w:val="000C2736"/>
    <w:rsid w:val="00120180"/>
    <w:rsid w:val="001D0673"/>
    <w:rsid w:val="002C4C1B"/>
    <w:rsid w:val="003736FB"/>
    <w:rsid w:val="003A7CE5"/>
    <w:rsid w:val="004416A5"/>
    <w:rsid w:val="00456574"/>
    <w:rsid w:val="00465E70"/>
    <w:rsid w:val="004A430C"/>
    <w:rsid w:val="005B1E07"/>
    <w:rsid w:val="006D1284"/>
    <w:rsid w:val="0071358B"/>
    <w:rsid w:val="00766882"/>
    <w:rsid w:val="007913F3"/>
    <w:rsid w:val="00814B39"/>
    <w:rsid w:val="008168BD"/>
    <w:rsid w:val="008509BF"/>
    <w:rsid w:val="008C7DFE"/>
    <w:rsid w:val="00A4502D"/>
    <w:rsid w:val="00B144DE"/>
    <w:rsid w:val="00BF419D"/>
    <w:rsid w:val="00D61A3E"/>
    <w:rsid w:val="00DC30E8"/>
    <w:rsid w:val="00DC6EE1"/>
    <w:rsid w:val="00E24909"/>
    <w:rsid w:val="00E42E04"/>
    <w:rsid w:val="00E66851"/>
    <w:rsid w:val="00E94D6E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2019-06-03T23:11:00Z</dcterms:created>
  <dcterms:modified xsi:type="dcterms:W3CDTF">2019-06-03T23:11:00Z</dcterms:modified>
</cp:coreProperties>
</file>