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746A835E" w:rsidR="002C4C1B" w:rsidRDefault="00610B9D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>Quality management of drugs of dependence checklist</w:t>
      </w:r>
    </w:p>
    <w:p w14:paraId="51A07FEE" w14:textId="77777777" w:rsidR="002C2095" w:rsidRDefault="002C2095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20294D88" w14:textId="489AD034" w:rsidR="0073756C" w:rsidRDefault="0073756C" w:rsidP="0073756C">
      <w:pPr>
        <w:rPr>
          <w:rFonts w:cs="Arial"/>
          <w:color w:val="000000" w:themeColor="text1"/>
          <w:szCs w:val="20"/>
        </w:rPr>
      </w:pPr>
      <w:r w:rsidRPr="0073756C">
        <w:rPr>
          <w:rFonts w:cs="Arial"/>
          <w:color w:val="000000" w:themeColor="text1"/>
          <w:szCs w:val="20"/>
        </w:rPr>
        <w:t xml:space="preserve">This simple checklist </w:t>
      </w:r>
      <w:proofErr w:type="gramStart"/>
      <w:r w:rsidRPr="0073756C">
        <w:rPr>
          <w:rFonts w:cs="Arial"/>
          <w:color w:val="000000" w:themeColor="text1"/>
          <w:szCs w:val="20"/>
        </w:rPr>
        <w:t>was developed</w:t>
      </w:r>
      <w:proofErr w:type="gramEnd"/>
      <w:r w:rsidRPr="0073756C">
        <w:rPr>
          <w:rFonts w:cs="Arial"/>
          <w:color w:val="000000" w:themeColor="text1"/>
          <w:szCs w:val="20"/>
        </w:rPr>
        <w:t xml:space="preserve"> from content in </w:t>
      </w:r>
      <w:r>
        <w:rPr>
          <w:rFonts w:cs="Arial"/>
          <w:color w:val="000000" w:themeColor="text1"/>
          <w:szCs w:val="20"/>
        </w:rPr>
        <w:t xml:space="preserve">the RACGPs </w:t>
      </w:r>
      <w:hyperlink r:id="rId8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 w:rsidRPr="0073756C">
        <w:rPr>
          <w:rFonts w:cs="Arial"/>
          <w:color w:val="000000" w:themeColor="text1"/>
          <w:szCs w:val="20"/>
        </w:rPr>
        <w:t xml:space="preserve">. It </w:t>
      </w:r>
      <w:proofErr w:type="gramStart"/>
      <w:r w:rsidRPr="0073756C">
        <w:rPr>
          <w:rFonts w:cs="Arial"/>
          <w:color w:val="000000" w:themeColor="text1"/>
          <w:szCs w:val="20"/>
        </w:rPr>
        <w:t>is designed</w:t>
      </w:r>
      <w:proofErr w:type="gramEnd"/>
      <w:r w:rsidRPr="0073756C">
        <w:rPr>
          <w:rFonts w:cs="Arial"/>
          <w:color w:val="000000" w:themeColor="text1"/>
          <w:szCs w:val="20"/>
        </w:rPr>
        <w:t xml:space="preserve"> to enable general</w:t>
      </w:r>
      <w:r>
        <w:rPr>
          <w:rFonts w:cs="Arial"/>
          <w:color w:val="000000" w:themeColor="text1"/>
          <w:szCs w:val="20"/>
        </w:rPr>
        <w:t xml:space="preserve"> </w:t>
      </w:r>
      <w:r w:rsidRPr="0073756C">
        <w:rPr>
          <w:rFonts w:cs="Arial"/>
          <w:color w:val="000000" w:themeColor="text1"/>
          <w:szCs w:val="20"/>
        </w:rPr>
        <w:t>practices to evaluate their status in managing drugs of dependence for their respective populations. As</w:t>
      </w:r>
      <w:r>
        <w:rPr>
          <w:rFonts w:cs="Arial"/>
          <w:color w:val="000000" w:themeColor="text1"/>
          <w:szCs w:val="20"/>
        </w:rPr>
        <w:t xml:space="preserve"> </w:t>
      </w:r>
      <w:r w:rsidRPr="0073756C">
        <w:rPr>
          <w:rFonts w:cs="Arial"/>
          <w:color w:val="000000" w:themeColor="text1"/>
          <w:szCs w:val="20"/>
        </w:rPr>
        <w:t xml:space="preserve">each general practice is different, findings </w:t>
      </w:r>
      <w:proofErr w:type="gramStart"/>
      <w:r w:rsidRPr="0073756C">
        <w:rPr>
          <w:rFonts w:cs="Arial"/>
          <w:color w:val="000000" w:themeColor="text1"/>
          <w:szCs w:val="20"/>
        </w:rPr>
        <w:t>should be interpreted</w:t>
      </w:r>
      <w:proofErr w:type="gramEnd"/>
      <w:r w:rsidRPr="0073756C">
        <w:rPr>
          <w:rFonts w:cs="Arial"/>
          <w:color w:val="000000" w:themeColor="text1"/>
          <w:szCs w:val="20"/>
        </w:rPr>
        <w:t xml:space="preserve"> individually.</w:t>
      </w:r>
    </w:p>
    <w:p w14:paraId="24CEB24C" w14:textId="6B902CD3" w:rsidR="00907695" w:rsidRPr="00483679" w:rsidRDefault="00907695" w:rsidP="0073756C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9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  <w:bookmarkStart w:id="0" w:name="_GoBack"/>
      <w:bookmarkEnd w:id="0"/>
    </w:p>
    <w:p w14:paraId="6B626F6E" w14:textId="7430D5B1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73756C">
        <w:rPr>
          <w:rFonts w:cs="Arial"/>
          <w:color w:val="0070C0"/>
          <w:sz w:val="36"/>
          <w:szCs w:val="24"/>
          <w:lang w:val="en-GB"/>
        </w:rPr>
        <w:t xml:space="preserve">quality management of drugs of dependence checklist 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73756C" w14:paraId="3DDB3048" w14:textId="77777777" w:rsidTr="00737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2BAA99E" w14:textId="2BA1C990" w:rsidR="0073756C" w:rsidRDefault="0073756C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1. Quality and safety infrastructure</w:t>
            </w:r>
          </w:p>
        </w:tc>
        <w:tc>
          <w:tcPr>
            <w:tcW w:w="516" w:type="dxa"/>
          </w:tcPr>
          <w:p w14:paraId="5E09ED23" w14:textId="77777777" w:rsidR="0073756C" w:rsidRDefault="0073756C" w:rsidP="00D5752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</w:rPr>
            </w:pPr>
          </w:p>
        </w:tc>
      </w:tr>
      <w:tr w:rsidR="0073756C" w14:paraId="1224CFEE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CD80875" w14:textId="12753FF2" w:rsidR="0073756C" w:rsidRPr="0073756C" w:rsidRDefault="0073756C" w:rsidP="0073756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Is your practice accredited</w:t>
            </w:r>
            <w:proofErr w:type="gram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to The Royal Australian College of General Practitioners</w:t>
            </w:r>
            <w:r>
              <w:rPr>
                <w:rFonts w:ascii="HelveticaNeueLTStd-Lt" w:eastAsia="HelveticaNeueLTStd-Lt" w:hAnsiTheme="minorHAnsi" w:cs="HelveticaNeueLTStd-Lt" w:hint="eastAsia"/>
                <w:color w:val="auto"/>
                <w:sz w:val="18"/>
                <w:szCs w:val="18"/>
              </w:rPr>
              <w:t>’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(RACGP</w:t>
            </w:r>
            <w:r>
              <w:rPr>
                <w:rFonts w:ascii="HelveticaNeueLTStd-Lt" w:eastAsia="HelveticaNeueLTStd-Lt" w:hAnsiTheme="minorHAnsi" w:cs="HelveticaNeueLTStd-Lt" w:hint="eastAsia"/>
                <w:color w:val="auto"/>
                <w:sz w:val="18"/>
                <w:szCs w:val="18"/>
              </w:rPr>
              <w:t>’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s) </w:t>
            </w:r>
            <w:r>
              <w:rPr>
                <w:rFonts w:ascii="HelveticaNeueLTStd-LtIt" w:eastAsia="HelveticaNeueLTStd-Lt" w:hAnsi="HelveticaNeueLTStd-LtIt" w:cs="HelveticaNeueLTStd-LtIt"/>
                <w:i/>
                <w:iCs/>
                <w:color w:val="auto"/>
                <w:sz w:val="18"/>
                <w:szCs w:val="18"/>
              </w:rPr>
              <w:t>Standards for general practices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26C9433A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08E37C7E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949985B" w14:textId="2A46ABB0" w:rsidR="0073756C" w:rsidRDefault="0073756C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b. Is there a clinical leader responsible for safety and quality within the general practice?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0766AC0F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0F9342EF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A2B945D" w14:textId="7C8E9F16" w:rsidR="0073756C" w:rsidRPr="003E3F9B" w:rsidRDefault="0073756C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c. Does the general practice support relevant training, education and re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sources for staff to be able to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identify patients with </w:t>
            </w:r>
            <w:proofErr w:type="gram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more complex needs</w:t>
            </w:r>
            <w:proofErr w:type="gram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and those at higher risk?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14E77C2B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56F64959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F7B7EFA" w14:textId="16207A07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d. Does the general practice have policies regarding the management of patients accor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ding to their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mental health status and use of drugs of dependence to provide t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he appropriate level of service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internally and externally?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5FC3007B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245EC873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168ACEE" w14:textId="275747D7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e. If the general practice contains </w:t>
            </w:r>
            <w:proofErr w:type="gram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 general practice-based</w:t>
            </w:r>
            <w:r w:rsidR="00610B9D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drugs</w:t>
            </w:r>
            <w:proofErr w:type="gramEnd"/>
            <w:r w:rsidR="00610B9D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of dependence management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program, does it ensure suitably qualified staff, organised suppor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t and ongoing quality assurance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arrangements?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67BEF8E1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044F3F09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33CAF27" w14:textId="3AF2F5F0" w:rsidR="0073756C" w:rsidRPr="00610B9D" w:rsidRDefault="00A75B78" w:rsidP="00610B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f. Does the general practice promote the development of com</w:t>
            </w:r>
            <w:r w:rsidR="00610B9D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petency in prescribing drugs of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dependence for its clinical staff?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2A186108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4223177C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F31E88D" w14:textId="73556B62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g. Does the general practice have strategies to ensure the occupation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al health and safety of GPs and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other members of the practice team?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68B35079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5524887D" w14:textId="77777777" w:rsidTr="00A75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1AC2A178" w14:textId="1F213055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2. Clinical policy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7B92746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3847ADA2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3600B90" w14:textId="30747A64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a. Does the practice have agreed clinical policies regarding prescrib</w:t>
            </w:r>
            <w:r w:rsidR="003E3F9B"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 xml:space="preserve">ing drugs of dependence? (Refer </w:t>
            </w: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9"/>
                <w:szCs w:val="19"/>
              </w:rPr>
              <w:t>Appendix D</w:t>
            </w:r>
            <w:r w:rsidR="00610B9D"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9"/>
                <w:szCs w:val="19"/>
              </w:rPr>
              <w:t xml:space="preserve"> of </w:t>
            </w:r>
            <w:hyperlink r:id="rId10" w:history="1">
              <w:r w:rsidR="00610B9D" w:rsidRPr="00610B9D">
                <w:rPr>
                  <w:rStyle w:val="Hyperlink"/>
                  <w:rFonts w:ascii="HelveticaNeueLTStd-LtIt" w:eastAsia="HelveticaNeueLTStd-Lt" w:hAnsi="HelveticaNeueLTStd-LtIt" w:cs="HelveticaNeueLTStd-LtIt"/>
                  <w:b w:val="0"/>
                  <w:bCs w:val="0"/>
                  <w:i/>
                  <w:iCs/>
                  <w:sz w:val="19"/>
                  <w:szCs w:val="19"/>
                </w:rPr>
                <w:t>Prescribing drugs of dependence in general practice – Part A</w:t>
              </w:r>
            </w:hyperlink>
            <w:r w:rsidR="00610B9D"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9"/>
                <w:szCs w:val="19"/>
              </w:rPr>
              <w:t xml:space="preserve"> </w:t>
            </w: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76A87970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13036334" w14:textId="77777777" w:rsidTr="00A75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71966097" w14:textId="09212631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3. Organisation of services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10474D8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1A2540E2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D59A4D1" w14:textId="145346A9" w:rsidR="0073756C" w:rsidRPr="00610B9D" w:rsidRDefault="00A75B78" w:rsidP="00610B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Does the general practice have an effective handover syste</w:t>
            </w:r>
            <w:r w:rsidR="00610B9D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m to ensure safe and continuing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healthcare delivery for patients (</w:t>
            </w:r>
            <w:proofErr w:type="spell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eg</w:t>
            </w:r>
            <w:proofErr w:type="spell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buddy system for continued care in the GP</w:t>
            </w:r>
            <w:r>
              <w:rPr>
                <w:rFonts w:ascii="HelveticaNeueLTStd-Lt" w:eastAsia="HelveticaNeueLTStd-Lt" w:hAnsiTheme="minorHAnsi" w:cs="HelveticaNeueLTStd-Lt" w:hint="eastAsia"/>
                <w:color w:val="auto"/>
                <w:sz w:val="18"/>
                <w:szCs w:val="18"/>
              </w:rPr>
              <w:t>’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s absence)?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1314A5B1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6E6546BF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957C5B3" w14:textId="2EA4145D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b. Does the general practice facilitate GPs</w:t>
            </w:r>
            <w:r>
              <w:rPr>
                <w:rFonts w:ascii="HelveticaNeueLTStd-Lt" w:eastAsia="HelveticaNeueLTStd-Lt" w:hAnsiTheme="minorHAnsi" w:cs="HelveticaNeueLTStd-Lt" w:hint="eastAsia"/>
                <w:color w:val="auto"/>
                <w:sz w:val="18"/>
                <w:szCs w:val="18"/>
              </w:rPr>
              <w:t>’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access to information management dat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a to monitor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potential prescription drug abuse (</w:t>
            </w:r>
            <w:proofErr w:type="spell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eg</w:t>
            </w:r>
            <w:proofErr w:type="spell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state and territory health ministries</w:t>
            </w:r>
            <w:r>
              <w:rPr>
                <w:rFonts w:ascii="HelveticaNeueLTStd-Lt" w:eastAsia="HelveticaNeueLTStd-Lt" w:hAnsiTheme="minorHAnsi" w:cs="HelveticaNeueLTStd-Lt" w:hint="eastAsia"/>
                <w:color w:val="auto"/>
                <w:sz w:val="18"/>
                <w:szCs w:val="18"/>
              </w:rPr>
              <w:t>’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drug units and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Prescription Shopping Information Service [PSIS]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or </w:t>
            </w:r>
            <w:proofErr w:type="spellStart"/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SafeScript</w:t>
            </w:r>
            <w:proofErr w:type="spell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)?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7485EB0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65BB7B8B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A6C7A39" w14:textId="4CC320F7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c. Does the general practice allow GPs the right to discontinue care 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of a patient who has behaved in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 violent or threatening manner?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7E999A25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37C1A013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90B751C" w14:textId="6CD7BEAC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d. If the general practice contains </w:t>
            </w:r>
            <w:proofErr w:type="gram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 general practice-based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drugs</w:t>
            </w:r>
            <w:proofErr w:type="gramEnd"/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of dependence management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program, does the general practice have a system of care to maximise health outcomes?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7798B0C0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621A9794" w14:textId="77777777" w:rsidTr="00A7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01DCA452" w14:textId="04849A3D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4. Preventive health and screening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08989F0E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52D0E967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BAD1908" w14:textId="3310E888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Is there evidence that GPs use urine drug screening to det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ect misuse or abuse of drugs of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dependence?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7AA62470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44B7B158" w14:textId="77777777" w:rsidTr="00A7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4D2A1D1B" w14:textId="208C62B1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5. Clinical documentation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63AB7BC2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05085CD9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3C919E1" w14:textId="6D2A730E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Do GPs ensure patient records are clear, up to date and contain sufficient information for another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practitioner to take over care?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24F27893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39C23A9A" w14:textId="77777777" w:rsidTr="00A7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50C59982" w14:textId="59B4AD67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6. Clinical assessment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479EFFA5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29A39934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77B58AE" w14:textId="545F73B2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Is there evidence of an adequate assessment and management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plan for each patient taking a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drug of dependence?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205F563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4BEAAA7A" w14:textId="77777777" w:rsidTr="00A7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700D61FE" w14:textId="506B413D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7. Clinical management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4C75527F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7163C6B5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E40E54E" w14:textId="4DAC71A2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a. Do GPs use principles of universal precautions to guide their a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pproach to patients who require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drugs of dependence?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4AA9DBD8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2FE1C1B3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99789DD" w14:textId="5500C4F1" w:rsidR="0073756C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b. Do GPs use specialist support to manage problematic drug us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e in patients with more complex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issues or if the clinical situation deteriorates?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5590D254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3F38D353" w14:textId="77777777" w:rsidTr="00A75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4F84C0A5" w14:textId="1D50818B" w:rsidR="0073756C" w:rsidRDefault="00A75B78" w:rsidP="00D57524">
            <w:pPr>
              <w:spacing w:after="0"/>
              <w:rPr>
                <w:rFonts w:cs="Arial"/>
                <w:bCs w:val="0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8. Prescribing safety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2DF652A" w14:textId="77777777" w:rsidR="0073756C" w:rsidRDefault="0073756C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3756C" w14:paraId="229984E0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4021542" w14:textId="291EC27F" w:rsidR="0073756C" w:rsidRPr="00610B9D" w:rsidRDefault="00A75B78" w:rsidP="00610B9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a. Do GPs prescribe within legislative frameworks and comply </w:t>
            </w:r>
            <w:r w:rsidR="00610B9D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with professional standards and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approved clinical guidelines?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0EF686AE" w14:textId="77777777" w:rsidR="0073756C" w:rsidRDefault="0073756C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5F3FC055" w14:textId="77777777" w:rsidTr="00737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96E0FC8" w14:textId="7EE885A8" w:rsidR="00A75B78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b. Do GPs ensure a permit or authority from the relevant state or t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erritory health department when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prescribing a Schedule 8 (S8) drug to a patient who is drug dependent?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4E604B90" w14:textId="77777777" w:rsidR="00A75B78" w:rsidRDefault="00A75B78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6C1E030B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A13B6F8" w14:textId="0D1FC358" w:rsidR="00A75B78" w:rsidRPr="003E3F9B" w:rsidRDefault="00A75B78" w:rsidP="003E3F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c. Do GPs inform patients that drugs of dependence are to </w:t>
            </w:r>
            <w:proofErr w:type="gramStart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be prescribed</w:t>
            </w:r>
            <w:proofErr w:type="gramEnd"/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 from one practi</w:t>
            </w:r>
            <w:r w:rsidR="003E3F9B"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 xml:space="preserve">ce and </w:t>
            </w:r>
            <w:r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  <w:t>preferably by one GP, and drugs should be dispensed from one pharmacy?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715F326A" w14:textId="77777777" w:rsidR="00A75B78" w:rsidRDefault="00A75B78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363A45C8" w14:textId="77777777" w:rsidTr="00A75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2EC442F6" w14:textId="3B41543E" w:rsidR="00A75B78" w:rsidRDefault="00A75B78" w:rsidP="00A7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9. Clinical practice review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3A49A48B" w14:textId="77777777" w:rsidR="00A75B78" w:rsidRDefault="00A75B78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18644504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457B432" w14:textId="55CBEC7C" w:rsidR="00A75B78" w:rsidRPr="003E3F9B" w:rsidRDefault="00A75B78" w:rsidP="00A7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a. Do GPs have a structured approach to reviewing opioid prescriptio</w:t>
            </w:r>
            <w:r w:rsidR="003E3F9B"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ns after 12 months? (</w:t>
            </w:r>
            <w:proofErr w:type="spellStart"/>
            <w:r w:rsidR="003E3F9B"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eg</w:t>
            </w:r>
            <w:proofErr w:type="spellEnd"/>
            <w:r w:rsidR="003E3F9B"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 xml:space="preserve"> similar </w:t>
            </w: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8"/>
                <w:szCs w:val="18"/>
              </w:rPr>
              <w:t>Appendix D.10</w:t>
            </w:r>
            <w:r w:rsidR="00610B9D"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8"/>
                <w:szCs w:val="18"/>
              </w:rPr>
              <w:t xml:space="preserve"> of </w:t>
            </w:r>
            <w:hyperlink r:id="rId11" w:history="1">
              <w:r w:rsidR="00610B9D" w:rsidRPr="00610B9D">
                <w:rPr>
                  <w:rStyle w:val="Hyperlink"/>
                  <w:rFonts w:ascii="HelveticaNeueLTStd-LtIt" w:eastAsia="HelveticaNeueLTStd-Lt" w:hAnsi="HelveticaNeueLTStd-LtIt" w:cs="HelveticaNeueLTStd-LtIt"/>
                  <w:b w:val="0"/>
                  <w:bCs w:val="0"/>
                  <w:i/>
                  <w:iCs/>
                  <w:sz w:val="19"/>
                  <w:szCs w:val="19"/>
                </w:rPr>
                <w:t>Prescribing drugs of dependence in general practice – Part A</w:t>
              </w:r>
            </w:hyperlink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23A8A8E6" w14:textId="77777777" w:rsidR="00A75B78" w:rsidRDefault="00A75B78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5170F2A1" w14:textId="77777777" w:rsidTr="00A75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5B9BD5" w:themeFill="accent1"/>
          </w:tcPr>
          <w:p w14:paraId="557DA890" w14:textId="1B9869B3" w:rsidR="00A75B78" w:rsidRDefault="00A75B78" w:rsidP="00A7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r>
              <w:rPr>
                <w:rFonts w:ascii="HelveticaNeueLTStd-Bd" w:hAnsi="HelveticaNeueLTStd-Bd" w:cs="HelveticaNeueLTStd-Bd"/>
                <w:color w:val="FFFFFF"/>
                <w:sz w:val="21"/>
                <w:szCs w:val="21"/>
              </w:rPr>
              <w:t>10. Populations for intervention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50B88270" w14:textId="77777777" w:rsidR="00A75B78" w:rsidRDefault="00A75B78" w:rsidP="00D57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A75B78" w14:paraId="7E3FB8C9" w14:textId="77777777" w:rsidTr="0073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9C889CD" w14:textId="77777777" w:rsidR="00A75B78" w:rsidRDefault="00A75B78" w:rsidP="00A7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</w:pPr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a. Does the general practice engage in population interventions to reduce use of drugs of</w:t>
            </w:r>
          </w:p>
          <w:p w14:paraId="072E2031" w14:textId="24D658DF" w:rsidR="00A75B78" w:rsidRDefault="00A75B78" w:rsidP="00A75B7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eastAsia="HelveticaNeueLTStd-Lt" w:hAnsiTheme="minorHAnsi" w:cs="HelveticaNeueLTStd-Lt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dependence</w:t>
            </w:r>
            <w:proofErr w:type="gramEnd"/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? (</w:t>
            </w:r>
            <w:proofErr w:type="spellStart"/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 xml:space="preserve"> reducing benzodiazepines use through a practice letter similar to </w:t>
            </w:r>
            <w:r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8"/>
                <w:szCs w:val="18"/>
              </w:rPr>
              <w:t>Appendix E.1</w:t>
            </w:r>
            <w:r w:rsidR="00610B9D">
              <w:rPr>
                <w:rFonts w:ascii="HelveticaNeueLTStd-LtIt" w:eastAsia="HelveticaNeueLTStd-Lt" w:hAnsi="HelveticaNeueLTStd-LtIt" w:cs="HelveticaNeueLTStd-LtIt"/>
                <w:i/>
                <w:iCs/>
                <w:color w:val="E61F0C"/>
                <w:sz w:val="18"/>
                <w:szCs w:val="18"/>
              </w:rPr>
              <w:t xml:space="preserve"> of </w:t>
            </w:r>
            <w:hyperlink r:id="rId12" w:history="1">
              <w:r w:rsidR="00610B9D" w:rsidRPr="00610B9D">
                <w:rPr>
                  <w:rStyle w:val="Hyperlink"/>
                  <w:rFonts w:ascii="HelveticaNeueLTStd-LtIt" w:eastAsia="HelveticaNeueLTStd-Lt" w:hAnsi="HelveticaNeueLTStd-LtIt" w:cs="HelveticaNeueLTStd-LtIt"/>
                  <w:b w:val="0"/>
                  <w:bCs w:val="0"/>
                  <w:i/>
                  <w:iCs/>
                  <w:sz w:val="19"/>
                  <w:szCs w:val="19"/>
                </w:rPr>
                <w:t>Prescribing drugs of dependence in general practice – Part A</w:t>
              </w:r>
            </w:hyperlink>
            <w:r>
              <w:rPr>
                <w:rFonts w:ascii="HelveticaNeueLTStd-Lt" w:eastAsia="HelveticaNeueLTStd-Lt" w:hAnsiTheme="minorHAnsi" w:cs="HelveticaNeueLTStd-L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6" w:type="dxa"/>
            <w:shd w:val="clear" w:color="auto" w:fill="BDD6EE" w:themeFill="accent1" w:themeFillTint="66"/>
          </w:tcPr>
          <w:p w14:paraId="0F95BB51" w14:textId="77777777" w:rsidR="00A75B78" w:rsidRDefault="00A75B78" w:rsidP="00D5752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</w:tbl>
    <w:p w14:paraId="6E9ACFA7" w14:textId="77777777" w:rsidR="00553E97" w:rsidRPr="00D57524" w:rsidRDefault="00553E97" w:rsidP="00D57524">
      <w:pPr>
        <w:spacing w:after="0"/>
        <w:rPr>
          <w:rFonts w:cs="Arial"/>
          <w:bCs/>
        </w:rPr>
      </w:pPr>
    </w:p>
    <w:p w14:paraId="37E90D3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97585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6480AA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A0545C0" w14:textId="77777777" w:rsidR="003E3F9B" w:rsidRDefault="003E3F9B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254C115" w14:textId="77777777" w:rsidR="003E3F9B" w:rsidRDefault="003E3F9B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42B9BD6" w14:textId="77777777" w:rsidR="003E3F9B" w:rsidRDefault="003E3F9B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6C0A9FF" w14:textId="77777777" w:rsidR="003E3F9B" w:rsidRDefault="003E3F9B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9456FED" w14:textId="77777777" w:rsidR="003E3F9B" w:rsidRDefault="003E3F9B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A80BD9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07F6127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2F2A14" w14:textId="0A45E68C" w:rsidR="000351B1" w:rsidRPr="0002280E" w:rsidRDefault="000351B1" w:rsidP="000351B1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</w:t>
      </w:r>
      <w:r w:rsidRPr="00E83AB2">
        <w:rPr>
          <w:rFonts w:cs="Arial"/>
          <w:sz w:val="16"/>
          <w:szCs w:val="16"/>
        </w:rPr>
        <w:t xml:space="preserve">Practitioners </w:t>
      </w:r>
      <w:r w:rsidR="00E83AB2" w:rsidRPr="00E83AB2">
        <w:rPr>
          <w:rFonts w:cs="Arial"/>
          <w:sz w:val="16"/>
          <w:szCs w:val="16"/>
        </w:rPr>
        <w:t>[2019</w:t>
      </w:r>
      <w:r w:rsidRPr="00E83AB2">
        <w:rPr>
          <w:rFonts w:cs="Arial"/>
          <w:sz w:val="16"/>
          <w:szCs w:val="16"/>
        </w:rPr>
        <w:t>]</w:t>
      </w:r>
    </w:p>
    <w:p w14:paraId="5A6DF71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7AD1EA3" w14:textId="77777777" w:rsidR="000351B1" w:rsidRDefault="00610B9D" w:rsidP="000351B1">
      <w:pPr>
        <w:spacing w:after="0" w:line="240" w:lineRule="auto"/>
        <w:rPr>
          <w:rFonts w:cs="Arial"/>
          <w:sz w:val="16"/>
          <w:szCs w:val="16"/>
        </w:rPr>
      </w:pPr>
      <w:hyperlink r:id="rId13" w:history="1"/>
      <w:hyperlink r:id="rId14" w:history="1">
        <w:r w:rsidR="000351B1" w:rsidRPr="000871B9">
          <w:rPr>
            <w:rFonts w:cs="Arial"/>
            <w:sz w:val="16"/>
            <w:szCs w:val="16"/>
          </w:rPr>
          <w:t>This</w:t>
        </w:r>
      </w:hyperlink>
      <w:r w:rsidR="000351B1" w:rsidRPr="000871B9">
        <w:rPr>
          <w:rFonts w:cs="Arial"/>
          <w:sz w:val="16"/>
          <w:szCs w:val="16"/>
        </w:rPr>
        <w:t xml:space="preserve"> resource </w:t>
      </w:r>
      <w:proofErr w:type="gramStart"/>
      <w:r w:rsidR="000351B1" w:rsidRPr="000871B9">
        <w:rPr>
          <w:rFonts w:cs="Arial"/>
          <w:sz w:val="16"/>
          <w:szCs w:val="16"/>
        </w:rPr>
        <w:t>is provided</w:t>
      </w:r>
      <w:proofErr w:type="gramEnd"/>
      <w:r w:rsidR="000351B1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5" w:history="1">
        <w:r w:rsidR="000351B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351B1">
        <w:rPr>
          <w:rFonts w:cs="Arial"/>
          <w:sz w:val="16"/>
          <w:szCs w:val="16"/>
        </w:rPr>
        <w:t xml:space="preserve"> </w:t>
      </w:r>
    </w:p>
    <w:p w14:paraId="577D3658" w14:textId="77777777" w:rsidR="000351B1" w:rsidRDefault="000351B1" w:rsidP="000351B1">
      <w:pPr>
        <w:spacing w:after="0" w:line="240" w:lineRule="auto"/>
        <w:rPr>
          <w:rFonts w:cs="Arial"/>
          <w:sz w:val="16"/>
          <w:szCs w:val="16"/>
        </w:rPr>
      </w:pPr>
    </w:p>
    <w:p w14:paraId="799AB3B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/>
    <w:sectPr w:rsidR="00062BE7" w:rsidRPr="006D1284" w:rsidSect="001D0673">
      <w:headerReference w:type="default" r:id="rId16"/>
      <w:footerReference w:type="default" r:id="rId1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0ECC1218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B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610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F5B"/>
    <w:multiLevelType w:val="hybridMultilevel"/>
    <w:tmpl w:val="CE5E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5E87"/>
    <w:multiLevelType w:val="hybridMultilevel"/>
    <w:tmpl w:val="545E2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F05CF"/>
    <w:multiLevelType w:val="hybridMultilevel"/>
    <w:tmpl w:val="7646E428"/>
    <w:lvl w:ilvl="0" w:tplc="8F6C9318">
      <w:numFmt w:val="bullet"/>
      <w:lvlText w:val="•"/>
      <w:lvlJc w:val="left"/>
      <w:pPr>
        <w:ind w:left="720" w:hanging="360"/>
      </w:pPr>
      <w:rPr>
        <w:rFonts w:ascii="HelveticaNeueLTStd-Lt" w:eastAsia="HelveticaNeueLTStd-Lt" w:hAnsiTheme="minorHAnsi" w:cs="HelveticaNeueLTStd-L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6CC1"/>
    <w:multiLevelType w:val="hybridMultilevel"/>
    <w:tmpl w:val="F1062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9A4949"/>
    <w:multiLevelType w:val="hybridMultilevel"/>
    <w:tmpl w:val="776CC552"/>
    <w:lvl w:ilvl="0" w:tplc="4FE8E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7310E"/>
    <w:multiLevelType w:val="hybridMultilevel"/>
    <w:tmpl w:val="64628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D79CF"/>
    <w:multiLevelType w:val="hybridMultilevel"/>
    <w:tmpl w:val="A1C46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351B1"/>
    <w:rsid w:val="00062BE7"/>
    <w:rsid w:val="000C47B4"/>
    <w:rsid w:val="00120180"/>
    <w:rsid w:val="001D0673"/>
    <w:rsid w:val="00267DDF"/>
    <w:rsid w:val="002C2095"/>
    <w:rsid w:val="002C4C1B"/>
    <w:rsid w:val="003736FB"/>
    <w:rsid w:val="003A7CE5"/>
    <w:rsid w:val="003E3F9B"/>
    <w:rsid w:val="004416A5"/>
    <w:rsid w:val="00465E70"/>
    <w:rsid w:val="004A430C"/>
    <w:rsid w:val="00553E97"/>
    <w:rsid w:val="005A7623"/>
    <w:rsid w:val="005A7A80"/>
    <w:rsid w:val="005B1E07"/>
    <w:rsid w:val="00610B9D"/>
    <w:rsid w:val="006154AB"/>
    <w:rsid w:val="006B7663"/>
    <w:rsid w:val="006D1284"/>
    <w:rsid w:val="0071358B"/>
    <w:rsid w:val="00734AAB"/>
    <w:rsid w:val="0073756C"/>
    <w:rsid w:val="008168BD"/>
    <w:rsid w:val="008509BF"/>
    <w:rsid w:val="008C7DFE"/>
    <w:rsid w:val="00907695"/>
    <w:rsid w:val="009D7FC6"/>
    <w:rsid w:val="00A4502D"/>
    <w:rsid w:val="00A75B78"/>
    <w:rsid w:val="00B353F3"/>
    <w:rsid w:val="00BF419D"/>
    <w:rsid w:val="00D57524"/>
    <w:rsid w:val="00DA6A43"/>
    <w:rsid w:val="00E24909"/>
    <w:rsid w:val="00E5541E"/>
    <w:rsid w:val="00E83AB2"/>
    <w:rsid w:val="00E94D6E"/>
    <w:rsid w:val="00FB79C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A43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A43"/>
    <w:rPr>
      <w:rFonts w:ascii="Arial" w:hAnsi="Arial"/>
      <w:b/>
      <w:bCs/>
      <w:color w:val="282828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D5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5752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acgp.org.au/usage/licence" TargetMode="External"/><Relationship Id="rId10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4" Type="http://schemas.openxmlformats.org/officeDocument/2006/relationships/hyperlink" Target="mailto:Th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943-8525-4CA5-AAD9-14745846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5</cp:revision>
  <dcterms:created xsi:type="dcterms:W3CDTF">2019-07-02T02:27:00Z</dcterms:created>
  <dcterms:modified xsi:type="dcterms:W3CDTF">2019-07-02T04:02:00Z</dcterms:modified>
</cp:coreProperties>
</file>