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88824" w14:textId="746A835E" w:rsidR="002C4C1B" w:rsidRDefault="00610B9D" w:rsidP="002C4C1B">
      <w:pPr>
        <w:rPr>
          <w:rFonts w:ascii="Georgia" w:hAnsi="Georgia" w:cs="Adobe Devanagari"/>
          <w:color w:val="000000" w:themeColor="text1"/>
          <w:sz w:val="32"/>
          <w:szCs w:val="32"/>
        </w:rPr>
      </w:pPr>
      <w:r>
        <w:rPr>
          <w:rFonts w:ascii="Georgia" w:hAnsi="Georgia" w:cs="Adobe Devanagari"/>
          <w:i/>
          <w:color w:val="000000" w:themeColor="text1"/>
          <w:sz w:val="32"/>
          <w:szCs w:val="32"/>
        </w:rPr>
        <w:t>Quality management of drugs of dependence checklist</w:t>
      </w:r>
    </w:p>
    <w:p w14:paraId="51A07FEE" w14:textId="77777777" w:rsidR="002C2095" w:rsidRDefault="002C2095" w:rsidP="002C4C1B">
      <w:pPr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Purpose:</w:t>
      </w:r>
    </w:p>
    <w:p w14:paraId="20294D88" w14:textId="489AD034" w:rsidR="0073756C" w:rsidRDefault="0073756C" w:rsidP="0073756C">
      <w:pPr>
        <w:rPr>
          <w:rFonts w:cs="Arial"/>
          <w:color w:val="000000" w:themeColor="text1"/>
          <w:szCs w:val="20"/>
        </w:rPr>
      </w:pPr>
      <w:r w:rsidRPr="0073756C">
        <w:rPr>
          <w:rFonts w:cs="Arial"/>
          <w:color w:val="000000" w:themeColor="text1"/>
          <w:szCs w:val="20"/>
        </w:rPr>
        <w:t xml:space="preserve">This simple checklist </w:t>
      </w:r>
      <w:proofErr w:type="gramStart"/>
      <w:r w:rsidRPr="0073756C">
        <w:rPr>
          <w:rFonts w:cs="Arial"/>
          <w:color w:val="000000" w:themeColor="text1"/>
          <w:szCs w:val="20"/>
        </w:rPr>
        <w:t>was developed</w:t>
      </w:r>
      <w:proofErr w:type="gramEnd"/>
      <w:r w:rsidRPr="0073756C">
        <w:rPr>
          <w:rFonts w:cs="Arial"/>
          <w:color w:val="000000" w:themeColor="text1"/>
          <w:szCs w:val="20"/>
        </w:rPr>
        <w:t xml:space="preserve"> from content in </w:t>
      </w:r>
      <w:r>
        <w:rPr>
          <w:rFonts w:cs="Arial"/>
          <w:color w:val="000000" w:themeColor="text1"/>
          <w:szCs w:val="20"/>
        </w:rPr>
        <w:t xml:space="preserve">the RACGPs </w:t>
      </w:r>
      <w:hyperlink r:id="rId8" w:history="1">
        <w:r w:rsidRPr="00BF6FC6">
          <w:rPr>
            <w:rStyle w:val="Hyperlink"/>
            <w:rFonts w:cs="Arial"/>
            <w:szCs w:val="20"/>
          </w:rPr>
          <w:t>Prescribing drugs of dependence in general practice – Part A – Clinical Governance Framework</w:t>
        </w:r>
      </w:hyperlink>
      <w:r w:rsidRPr="0073756C">
        <w:rPr>
          <w:rFonts w:cs="Arial"/>
          <w:color w:val="000000" w:themeColor="text1"/>
          <w:szCs w:val="20"/>
        </w:rPr>
        <w:t xml:space="preserve">. It </w:t>
      </w:r>
      <w:proofErr w:type="gramStart"/>
      <w:r w:rsidRPr="0073756C">
        <w:rPr>
          <w:rFonts w:cs="Arial"/>
          <w:color w:val="000000" w:themeColor="text1"/>
          <w:szCs w:val="20"/>
        </w:rPr>
        <w:t>is designed</w:t>
      </w:r>
      <w:proofErr w:type="gramEnd"/>
      <w:r w:rsidRPr="0073756C">
        <w:rPr>
          <w:rFonts w:cs="Arial"/>
          <w:color w:val="000000" w:themeColor="text1"/>
          <w:szCs w:val="20"/>
        </w:rPr>
        <w:t xml:space="preserve"> to enable general</w:t>
      </w:r>
      <w:r>
        <w:rPr>
          <w:rFonts w:cs="Arial"/>
          <w:color w:val="000000" w:themeColor="text1"/>
          <w:szCs w:val="20"/>
        </w:rPr>
        <w:t xml:space="preserve"> </w:t>
      </w:r>
      <w:r w:rsidRPr="0073756C">
        <w:rPr>
          <w:rFonts w:cs="Arial"/>
          <w:color w:val="000000" w:themeColor="text1"/>
          <w:szCs w:val="20"/>
        </w:rPr>
        <w:t>practices to evaluate their status in managing drugs of dependence for their respective populations. As</w:t>
      </w:r>
      <w:r>
        <w:rPr>
          <w:rFonts w:cs="Arial"/>
          <w:color w:val="000000" w:themeColor="text1"/>
          <w:szCs w:val="20"/>
        </w:rPr>
        <w:t xml:space="preserve"> </w:t>
      </w:r>
      <w:r w:rsidRPr="0073756C">
        <w:rPr>
          <w:rFonts w:cs="Arial"/>
          <w:color w:val="000000" w:themeColor="text1"/>
          <w:szCs w:val="20"/>
        </w:rPr>
        <w:t xml:space="preserve">each general practice is different, findings </w:t>
      </w:r>
      <w:proofErr w:type="gramStart"/>
      <w:r w:rsidRPr="0073756C">
        <w:rPr>
          <w:rFonts w:cs="Arial"/>
          <w:color w:val="000000" w:themeColor="text1"/>
          <w:szCs w:val="20"/>
        </w:rPr>
        <w:t>should be interpreted</w:t>
      </w:r>
      <w:proofErr w:type="gramEnd"/>
      <w:r w:rsidRPr="0073756C">
        <w:rPr>
          <w:rFonts w:cs="Arial"/>
          <w:color w:val="000000" w:themeColor="text1"/>
          <w:szCs w:val="20"/>
        </w:rPr>
        <w:t xml:space="preserve"> individually.</w:t>
      </w:r>
    </w:p>
    <w:p w14:paraId="24CEB24C" w14:textId="6B902CD3" w:rsidR="00907695" w:rsidRPr="00483679" w:rsidRDefault="00907695" w:rsidP="0073756C">
      <w:pPr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For more information, please refer to the RACGPs </w:t>
      </w:r>
      <w:hyperlink r:id="rId9" w:history="1">
        <w:r w:rsidRPr="00BF6FC6">
          <w:rPr>
            <w:rStyle w:val="Hyperlink"/>
            <w:rFonts w:cs="Arial"/>
            <w:szCs w:val="20"/>
          </w:rPr>
          <w:t>Prescribing drugs of dependence in general practice – Part A – Clinical Governance Framework</w:t>
        </w:r>
      </w:hyperlink>
      <w:r>
        <w:rPr>
          <w:rFonts w:cs="Arial"/>
          <w:color w:val="000000" w:themeColor="text1"/>
          <w:szCs w:val="20"/>
        </w:rPr>
        <w:t xml:space="preserve">. </w:t>
      </w:r>
    </w:p>
    <w:p w14:paraId="6D6C360D" w14:textId="473CAD13" w:rsidR="006D1284" w:rsidRPr="005B1E07" w:rsidRDefault="006D1284" w:rsidP="005B1E07">
      <w:pPr>
        <w:spacing w:after="0"/>
        <w:contextualSpacing/>
        <w:rPr>
          <w:color w:val="auto"/>
          <w:szCs w:val="20"/>
          <w:lang w:val="en-GB"/>
        </w:rPr>
      </w:pPr>
      <w:r>
        <w:rPr>
          <w:color w:val="auto"/>
          <w:szCs w:val="20"/>
          <w:lang w:val="en-GB"/>
        </w:rPr>
        <w:br w:type="page"/>
      </w:r>
      <w:bookmarkStart w:id="0" w:name="_GoBack"/>
      <w:bookmarkEnd w:id="0"/>
    </w:p>
    <w:p w14:paraId="6B626F6E" w14:textId="7430D5B1" w:rsidR="006D1284" w:rsidRDefault="006D1284" w:rsidP="006D1284">
      <w:pPr>
        <w:pStyle w:val="MBHeader01"/>
        <w:tabs>
          <w:tab w:val="clear" w:pos="936"/>
          <w:tab w:val="left" w:pos="720"/>
        </w:tabs>
        <w:spacing w:before="0" w:after="0"/>
        <w:ind w:left="0" w:firstLine="0"/>
        <w:rPr>
          <w:rFonts w:cs="Arial"/>
          <w:color w:val="0070C0"/>
          <w:sz w:val="36"/>
          <w:szCs w:val="24"/>
          <w:lang w:val="en-GB"/>
        </w:rPr>
      </w:pPr>
      <w:r>
        <w:rPr>
          <w:rFonts w:cs="Arial"/>
          <w:color w:val="FF0000"/>
          <w:sz w:val="36"/>
          <w:szCs w:val="24"/>
          <w:lang w:val="en-GB"/>
        </w:rPr>
        <w:lastRenderedPageBreak/>
        <w:t>[</w:t>
      </w:r>
      <w:r w:rsidR="00E94D6E">
        <w:rPr>
          <w:rFonts w:cs="Arial"/>
          <w:color w:val="FF0000"/>
          <w:sz w:val="36"/>
          <w:szCs w:val="24"/>
          <w:lang w:val="en-GB"/>
        </w:rPr>
        <w:t>Insert</w:t>
      </w:r>
      <w:r>
        <w:rPr>
          <w:rFonts w:cs="Arial"/>
          <w:color w:val="FF0000"/>
          <w:sz w:val="36"/>
          <w:szCs w:val="24"/>
          <w:lang w:val="en-GB"/>
        </w:rPr>
        <w:t xml:space="preserve"> practice name] </w:t>
      </w:r>
      <w:r w:rsidR="0073756C">
        <w:rPr>
          <w:rFonts w:cs="Arial"/>
          <w:color w:val="0070C0"/>
          <w:sz w:val="36"/>
          <w:szCs w:val="24"/>
          <w:lang w:val="en-GB"/>
        </w:rPr>
        <w:t xml:space="preserve">quality management of drugs of dependence checklist </w:t>
      </w:r>
    </w:p>
    <w:p w14:paraId="3A59BF94" w14:textId="77777777" w:rsidR="006D1284" w:rsidRDefault="006D1284" w:rsidP="006D1284">
      <w:pPr>
        <w:pStyle w:val="MB-Body"/>
        <w:tabs>
          <w:tab w:val="left" w:pos="720"/>
        </w:tabs>
        <w:spacing w:after="0" w:line="276" w:lineRule="auto"/>
        <w:rPr>
          <w:i/>
          <w:color w:val="CF1D21"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Current as of: </w:t>
      </w:r>
      <w:r>
        <w:rPr>
          <w:i/>
          <w:color w:val="CF1D21"/>
          <w:sz w:val="22"/>
          <w:szCs w:val="22"/>
          <w:lang w:val="en-GB"/>
        </w:rPr>
        <w:t>[insert date of last revision]</w:t>
      </w:r>
    </w:p>
    <w:p w14:paraId="20176AE8" w14:textId="77777777" w:rsidR="006D1284" w:rsidRDefault="006D1284" w:rsidP="006D1284">
      <w:pPr>
        <w:pStyle w:val="MB-Body"/>
        <w:tabs>
          <w:tab w:val="left" w:pos="720"/>
        </w:tabs>
        <w:spacing w:after="0" w:line="276" w:lineRule="auto"/>
        <w:rPr>
          <w:i/>
          <w:color w:val="CF1D21"/>
          <w:sz w:val="22"/>
          <w:szCs w:val="22"/>
          <w:lang w:val="en-GB"/>
        </w:rPr>
      </w:pPr>
      <w:r>
        <w:rPr>
          <w:i/>
          <w:color w:val="auto"/>
          <w:sz w:val="22"/>
          <w:szCs w:val="22"/>
          <w:lang w:val="en-GB"/>
        </w:rPr>
        <w:t>Version no:</w:t>
      </w:r>
      <w:r>
        <w:rPr>
          <w:i/>
          <w:color w:val="CF1D21"/>
          <w:sz w:val="22"/>
          <w:szCs w:val="22"/>
          <w:lang w:val="en-GB"/>
        </w:rPr>
        <w:t xml:space="preserve"> [insert version number]</w:t>
      </w:r>
    </w:p>
    <w:p w14:paraId="4550F6C3" w14:textId="6554FBC3" w:rsidR="002C4C1B" w:rsidRDefault="002C4C1B" w:rsidP="006D1284">
      <w:pPr>
        <w:pStyle w:val="MB-Body"/>
        <w:tabs>
          <w:tab w:val="left" w:pos="720"/>
        </w:tabs>
        <w:spacing w:after="0" w:line="276" w:lineRule="auto"/>
        <w:rPr>
          <w:i/>
          <w:sz w:val="22"/>
          <w:szCs w:val="22"/>
          <w:lang w:val="en-GB"/>
        </w:rPr>
      </w:pPr>
      <w:r w:rsidRPr="002C4C1B">
        <w:rPr>
          <w:i/>
          <w:color w:val="auto"/>
          <w:sz w:val="22"/>
          <w:szCs w:val="22"/>
          <w:lang w:val="en-GB"/>
        </w:rPr>
        <w:t xml:space="preserve">Review date: </w:t>
      </w:r>
      <w:r>
        <w:rPr>
          <w:i/>
          <w:color w:val="CF1D21"/>
          <w:sz w:val="22"/>
          <w:szCs w:val="22"/>
          <w:lang w:val="en-GB"/>
        </w:rPr>
        <w:t>[insert date]</w:t>
      </w:r>
    </w:p>
    <w:p w14:paraId="3D6D0D77" w14:textId="77777777" w:rsidR="006D1284" w:rsidRDefault="006D1284" w:rsidP="006D1284">
      <w:pPr>
        <w:spacing w:after="0"/>
        <w:contextualSpacing/>
        <w:rPr>
          <w:rFonts w:cs="Arial"/>
          <w:b/>
          <w:lang w:val="en-GB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8500"/>
        <w:gridCol w:w="516"/>
      </w:tblGrid>
      <w:tr w:rsidR="0073756C" w14:paraId="3DDB3048" w14:textId="77777777" w:rsidTr="00737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52BAA99E" w14:textId="2BA1C990" w:rsidR="0073756C" w:rsidRDefault="0073756C" w:rsidP="00D57524">
            <w:pPr>
              <w:spacing w:after="0"/>
              <w:rPr>
                <w:rFonts w:cs="Arial"/>
                <w:bCs w:val="0"/>
              </w:rPr>
            </w:pPr>
            <w:r>
              <w:rPr>
                <w:rFonts w:ascii="HelveticaNeueLTStd-Bd" w:hAnsi="HelveticaNeueLTStd-Bd" w:cs="HelveticaNeueLTStd-Bd"/>
                <w:color w:val="FFFFFF"/>
                <w:sz w:val="21"/>
                <w:szCs w:val="21"/>
              </w:rPr>
              <w:t>1. Quality and safety infrastructure</w:t>
            </w:r>
          </w:p>
        </w:tc>
        <w:tc>
          <w:tcPr>
            <w:tcW w:w="516" w:type="dxa"/>
          </w:tcPr>
          <w:p w14:paraId="5E09ED23" w14:textId="77777777" w:rsidR="0073756C" w:rsidRDefault="0073756C" w:rsidP="00D5752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</w:p>
        </w:tc>
      </w:tr>
      <w:tr w:rsidR="0073756C" w14:paraId="1224CFEE" w14:textId="77777777" w:rsidTr="0073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1CD80875" w14:textId="12753FF2" w:rsidR="0073756C" w:rsidRPr="0073756C" w:rsidRDefault="0073756C" w:rsidP="0073756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>a. Is your practice accredited</w:t>
            </w:r>
            <w:proofErr w:type="gramEnd"/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 xml:space="preserve"> to The Royal Australian College of General Practitioners</w:t>
            </w:r>
            <w:r>
              <w:rPr>
                <w:rFonts w:ascii="HelveticaNeueLTStd-Lt" w:eastAsia="HelveticaNeueLTStd-Lt" w:hAnsiTheme="minorHAnsi" w:cs="HelveticaNeueLTStd-Lt" w:hint="eastAsia"/>
                <w:color w:val="auto"/>
                <w:sz w:val="18"/>
                <w:szCs w:val="18"/>
              </w:rPr>
              <w:t>’</w:t>
            </w:r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 xml:space="preserve"> (RACGP</w:t>
            </w:r>
            <w:r>
              <w:rPr>
                <w:rFonts w:ascii="HelveticaNeueLTStd-Lt" w:eastAsia="HelveticaNeueLTStd-Lt" w:hAnsiTheme="minorHAnsi" w:cs="HelveticaNeueLTStd-Lt" w:hint="eastAsia"/>
                <w:color w:val="auto"/>
                <w:sz w:val="18"/>
                <w:szCs w:val="18"/>
              </w:rPr>
              <w:t>’</w:t>
            </w:r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 xml:space="preserve">s) </w:t>
            </w:r>
            <w:r>
              <w:rPr>
                <w:rFonts w:ascii="HelveticaNeueLTStd-LtIt" w:eastAsia="HelveticaNeueLTStd-Lt" w:hAnsi="HelveticaNeueLTStd-LtIt" w:cs="HelveticaNeueLTStd-LtIt"/>
                <w:i/>
                <w:iCs/>
                <w:color w:val="auto"/>
                <w:sz w:val="18"/>
                <w:szCs w:val="18"/>
              </w:rPr>
              <w:t>Standards for general practices</w:t>
            </w:r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>?</w:t>
            </w:r>
          </w:p>
        </w:tc>
        <w:tc>
          <w:tcPr>
            <w:tcW w:w="516" w:type="dxa"/>
            <w:shd w:val="clear" w:color="auto" w:fill="BDD6EE" w:themeFill="accent1" w:themeFillTint="66"/>
          </w:tcPr>
          <w:p w14:paraId="26C9433A" w14:textId="77777777" w:rsidR="0073756C" w:rsidRDefault="0073756C" w:rsidP="00D575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73756C" w14:paraId="08E37C7E" w14:textId="77777777" w:rsidTr="00737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2949985B" w14:textId="2A46ABB0" w:rsidR="0073756C" w:rsidRDefault="0073756C" w:rsidP="00D57524">
            <w:pPr>
              <w:spacing w:after="0"/>
              <w:rPr>
                <w:rFonts w:cs="Arial"/>
                <w:bCs w:val="0"/>
              </w:rPr>
            </w:pPr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>b. Is there a clinical leader responsible for safety and quality within the general practice?</w:t>
            </w:r>
          </w:p>
        </w:tc>
        <w:tc>
          <w:tcPr>
            <w:tcW w:w="516" w:type="dxa"/>
            <w:shd w:val="clear" w:color="auto" w:fill="BDD6EE" w:themeFill="accent1" w:themeFillTint="66"/>
          </w:tcPr>
          <w:p w14:paraId="0766AC0F" w14:textId="77777777" w:rsidR="0073756C" w:rsidRDefault="0073756C" w:rsidP="00D575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73756C" w14:paraId="0F9342EF" w14:textId="77777777" w:rsidTr="0073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1A2B945D" w14:textId="7C8E9F16" w:rsidR="0073756C" w:rsidRPr="003E3F9B" w:rsidRDefault="0073756C" w:rsidP="003E3F9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</w:pPr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>c. Does the general practice support relevant training, education and re</w:t>
            </w:r>
            <w:r w:rsidR="003E3F9B"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 xml:space="preserve">sources for staff to be able to </w:t>
            </w:r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 xml:space="preserve">identify patients with </w:t>
            </w:r>
            <w:proofErr w:type="gramStart"/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>more complex needs</w:t>
            </w:r>
            <w:proofErr w:type="gramEnd"/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 xml:space="preserve"> and those at higher risk?</w:t>
            </w:r>
          </w:p>
        </w:tc>
        <w:tc>
          <w:tcPr>
            <w:tcW w:w="516" w:type="dxa"/>
            <w:shd w:val="clear" w:color="auto" w:fill="BDD6EE" w:themeFill="accent1" w:themeFillTint="66"/>
          </w:tcPr>
          <w:p w14:paraId="14E77C2B" w14:textId="77777777" w:rsidR="0073756C" w:rsidRDefault="0073756C" w:rsidP="00D575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73756C" w14:paraId="56F64959" w14:textId="77777777" w:rsidTr="00737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1F7B7EFA" w14:textId="16207A07" w:rsidR="0073756C" w:rsidRPr="003E3F9B" w:rsidRDefault="00A75B78" w:rsidP="003E3F9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</w:pPr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>d. Does the general practice have policies regarding the management of patients accor</w:t>
            </w:r>
            <w:r w:rsidR="003E3F9B"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 xml:space="preserve">ding to their </w:t>
            </w:r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>mental health status and use of drugs of dependence to provide t</w:t>
            </w:r>
            <w:r w:rsidR="003E3F9B"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 xml:space="preserve">he appropriate level of service </w:t>
            </w:r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>internally and externally?</w:t>
            </w:r>
          </w:p>
        </w:tc>
        <w:tc>
          <w:tcPr>
            <w:tcW w:w="516" w:type="dxa"/>
            <w:shd w:val="clear" w:color="auto" w:fill="BDD6EE" w:themeFill="accent1" w:themeFillTint="66"/>
          </w:tcPr>
          <w:p w14:paraId="5FC3007B" w14:textId="77777777" w:rsidR="0073756C" w:rsidRDefault="0073756C" w:rsidP="00D575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73756C" w14:paraId="245EC873" w14:textId="77777777" w:rsidTr="0073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4168ACEE" w14:textId="275747D7" w:rsidR="0073756C" w:rsidRPr="003E3F9B" w:rsidRDefault="00A75B78" w:rsidP="003E3F9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</w:pPr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 xml:space="preserve">e. If the general practice contains </w:t>
            </w:r>
            <w:proofErr w:type="gramStart"/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>a general practice-based</w:t>
            </w:r>
            <w:r w:rsidR="00610B9D"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 xml:space="preserve"> drugs</w:t>
            </w:r>
            <w:proofErr w:type="gramEnd"/>
            <w:r w:rsidR="00610B9D"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 xml:space="preserve"> of dependence management </w:t>
            </w:r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>program, does it ensure suitably qualified staff, organised suppor</w:t>
            </w:r>
            <w:r w:rsidR="003E3F9B"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 xml:space="preserve">t and ongoing quality assurance </w:t>
            </w:r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>arrangements?</w:t>
            </w:r>
          </w:p>
        </w:tc>
        <w:tc>
          <w:tcPr>
            <w:tcW w:w="516" w:type="dxa"/>
            <w:shd w:val="clear" w:color="auto" w:fill="BDD6EE" w:themeFill="accent1" w:themeFillTint="66"/>
          </w:tcPr>
          <w:p w14:paraId="67BEF8E1" w14:textId="77777777" w:rsidR="0073756C" w:rsidRDefault="0073756C" w:rsidP="00D575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73756C" w14:paraId="044F3F09" w14:textId="77777777" w:rsidTr="00737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633CAF27" w14:textId="3AF2F5F0" w:rsidR="0073756C" w:rsidRPr="00610B9D" w:rsidRDefault="00A75B78" w:rsidP="00610B9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</w:pPr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>f. Does the general practice promote the development of com</w:t>
            </w:r>
            <w:r w:rsidR="00610B9D"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 xml:space="preserve">petency in prescribing drugs of </w:t>
            </w:r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>dependence for its clinical staff?</w:t>
            </w:r>
          </w:p>
        </w:tc>
        <w:tc>
          <w:tcPr>
            <w:tcW w:w="516" w:type="dxa"/>
            <w:shd w:val="clear" w:color="auto" w:fill="BDD6EE" w:themeFill="accent1" w:themeFillTint="66"/>
          </w:tcPr>
          <w:p w14:paraId="2A186108" w14:textId="77777777" w:rsidR="0073756C" w:rsidRDefault="0073756C" w:rsidP="00D575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73756C" w14:paraId="4223177C" w14:textId="77777777" w:rsidTr="0073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6F31E88D" w14:textId="73556B62" w:rsidR="0073756C" w:rsidRPr="003E3F9B" w:rsidRDefault="00A75B78" w:rsidP="003E3F9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</w:pPr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>g. Does the general practice have strategies to ensure the occupation</w:t>
            </w:r>
            <w:r w:rsidR="003E3F9B"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 xml:space="preserve">al health and safety of GPs and </w:t>
            </w:r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>other members of the practice team?</w:t>
            </w:r>
          </w:p>
        </w:tc>
        <w:tc>
          <w:tcPr>
            <w:tcW w:w="516" w:type="dxa"/>
            <w:shd w:val="clear" w:color="auto" w:fill="BDD6EE" w:themeFill="accent1" w:themeFillTint="66"/>
          </w:tcPr>
          <w:p w14:paraId="68B35079" w14:textId="77777777" w:rsidR="0073756C" w:rsidRDefault="0073756C" w:rsidP="00D575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73756C" w14:paraId="5524887D" w14:textId="77777777" w:rsidTr="00A75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5B9BD5" w:themeFill="accent1"/>
          </w:tcPr>
          <w:p w14:paraId="1AC2A178" w14:textId="1F213055" w:rsidR="0073756C" w:rsidRDefault="00A75B78" w:rsidP="00D57524">
            <w:pPr>
              <w:spacing w:after="0"/>
              <w:rPr>
                <w:rFonts w:cs="Arial"/>
                <w:bCs w:val="0"/>
              </w:rPr>
            </w:pPr>
            <w:r>
              <w:rPr>
                <w:rFonts w:ascii="HelveticaNeueLTStd-Bd" w:hAnsi="HelveticaNeueLTStd-Bd" w:cs="HelveticaNeueLTStd-Bd"/>
                <w:color w:val="FFFFFF"/>
                <w:sz w:val="21"/>
                <w:szCs w:val="21"/>
              </w:rPr>
              <w:t>2. Clinical policy</w:t>
            </w:r>
          </w:p>
        </w:tc>
        <w:tc>
          <w:tcPr>
            <w:tcW w:w="516" w:type="dxa"/>
            <w:shd w:val="clear" w:color="auto" w:fill="BDD6EE" w:themeFill="accent1" w:themeFillTint="66"/>
          </w:tcPr>
          <w:p w14:paraId="37B92746" w14:textId="77777777" w:rsidR="0073756C" w:rsidRDefault="0073756C" w:rsidP="00D575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73756C" w14:paraId="3847ADA2" w14:textId="77777777" w:rsidTr="0073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63600B90" w14:textId="30747A64" w:rsidR="0073756C" w:rsidRPr="003E3F9B" w:rsidRDefault="00A75B78" w:rsidP="003E3F9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eastAsia="HelveticaNeueLTStd-Lt" w:hAnsiTheme="minorHAnsi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Lt" w:eastAsia="HelveticaNeueLTStd-Lt" w:hAnsiTheme="minorHAnsi" w:cs="HelveticaNeueLTStd-Lt"/>
                <w:color w:val="000000"/>
                <w:sz w:val="18"/>
                <w:szCs w:val="18"/>
              </w:rPr>
              <w:t>a. Does the practice have agreed clinical policies regarding prescrib</w:t>
            </w:r>
            <w:r w:rsidR="003E3F9B">
              <w:rPr>
                <w:rFonts w:ascii="HelveticaNeueLTStd-Lt" w:eastAsia="HelveticaNeueLTStd-Lt" w:hAnsiTheme="minorHAnsi" w:cs="HelveticaNeueLTStd-Lt"/>
                <w:color w:val="000000"/>
                <w:sz w:val="18"/>
                <w:szCs w:val="18"/>
              </w:rPr>
              <w:t xml:space="preserve">ing drugs of dependence? (Refer </w:t>
            </w:r>
            <w:r>
              <w:rPr>
                <w:rFonts w:ascii="HelveticaNeueLTStd-Lt" w:eastAsia="HelveticaNeueLTStd-Lt" w:hAnsiTheme="minorHAnsi" w:cs="HelveticaNeueLTStd-Lt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HelveticaNeueLTStd-LtIt" w:eastAsia="HelveticaNeueLTStd-Lt" w:hAnsi="HelveticaNeueLTStd-LtIt" w:cs="HelveticaNeueLTStd-LtIt"/>
                <w:i/>
                <w:iCs/>
                <w:color w:val="E61F0C"/>
                <w:sz w:val="19"/>
                <w:szCs w:val="19"/>
              </w:rPr>
              <w:t>Appendix D</w:t>
            </w:r>
            <w:r w:rsidR="00610B9D">
              <w:rPr>
                <w:rFonts w:ascii="HelveticaNeueLTStd-LtIt" w:eastAsia="HelveticaNeueLTStd-Lt" w:hAnsi="HelveticaNeueLTStd-LtIt" w:cs="HelveticaNeueLTStd-LtIt"/>
                <w:i/>
                <w:iCs/>
                <w:color w:val="E61F0C"/>
                <w:sz w:val="19"/>
                <w:szCs w:val="19"/>
              </w:rPr>
              <w:t xml:space="preserve"> of </w:t>
            </w:r>
            <w:hyperlink r:id="rId10" w:history="1">
              <w:r w:rsidR="00610B9D" w:rsidRPr="00610B9D">
                <w:rPr>
                  <w:rStyle w:val="Hyperlink"/>
                  <w:rFonts w:ascii="HelveticaNeueLTStd-LtIt" w:eastAsia="HelveticaNeueLTStd-Lt" w:hAnsi="HelveticaNeueLTStd-LtIt" w:cs="HelveticaNeueLTStd-LtIt"/>
                  <w:b w:val="0"/>
                  <w:bCs w:val="0"/>
                  <w:i/>
                  <w:iCs/>
                  <w:sz w:val="19"/>
                  <w:szCs w:val="19"/>
                </w:rPr>
                <w:t>Prescribing drugs of dependence in general practice – Part A</w:t>
              </w:r>
            </w:hyperlink>
            <w:r w:rsidR="00610B9D">
              <w:rPr>
                <w:rFonts w:ascii="HelveticaNeueLTStd-LtIt" w:eastAsia="HelveticaNeueLTStd-Lt" w:hAnsi="HelveticaNeueLTStd-LtIt" w:cs="HelveticaNeueLTStd-LtIt"/>
                <w:i/>
                <w:iCs/>
                <w:color w:val="E61F0C"/>
                <w:sz w:val="19"/>
                <w:szCs w:val="19"/>
              </w:rPr>
              <w:t xml:space="preserve"> </w:t>
            </w:r>
            <w:r>
              <w:rPr>
                <w:rFonts w:ascii="HelveticaNeueLTStd-Lt" w:eastAsia="HelveticaNeueLTStd-Lt" w:hAnsiTheme="minorHAnsi" w:cs="HelveticaNeueLTStd-Lt"/>
                <w:color w:val="000000"/>
                <w:sz w:val="18"/>
                <w:szCs w:val="18"/>
              </w:rPr>
              <w:t>)</w:t>
            </w:r>
          </w:p>
        </w:tc>
        <w:tc>
          <w:tcPr>
            <w:tcW w:w="516" w:type="dxa"/>
            <w:shd w:val="clear" w:color="auto" w:fill="BDD6EE" w:themeFill="accent1" w:themeFillTint="66"/>
          </w:tcPr>
          <w:p w14:paraId="76A87970" w14:textId="77777777" w:rsidR="0073756C" w:rsidRDefault="0073756C" w:rsidP="00D575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73756C" w14:paraId="13036334" w14:textId="77777777" w:rsidTr="00A75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5B9BD5" w:themeFill="accent1"/>
          </w:tcPr>
          <w:p w14:paraId="71966097" w14:textId="09212631" w:rsidR="0073756C" w:rsidRDefault="00A75B78" w:rsidP="00D57524">
            <w:pPr>
              <w:spacing w:after="0"/>
              <w:rPr>
                <w:rFonts w:cs="Arial"/>
                <w:bCs w:val="0"/>
              </w:rPr>
            </w:pPr>
            <w:r>
              <w:rPr>
                <w:rFonts w:ascii="HelveticaNeueLTStd-Bd" w:hAnsi="HelveticaNeueLTStd-Bd" w:cs="HelveticaNeueLTStd-Bd"/>
                <w:color w:val="FFFFFF"/>
                <w:sz w:val="21"/>
                <w:szCs w:val="21"/>
              </w:rPr>
              <w:t>3. Organisation of services</w:t>
            </w:r>
          </w:p>
        </w:tc>
        <w:tc>
          <w:tcPr>
            <w:tcW w:w="516" w:type="dxa"/>
            <w:shd w:val="clear" w:color="auto" w:fill="BDD6EE" w:themeFill="accent1" w:themeFillTint="66"/>
          </w:tcPr>
          <w:p w14:paraId="310474D8" w14:textId="77777777" w:rsidR="0073756C" w:rsidRDefault="0073756C" w:rsidP="00D575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73756C" w14:paraId="1A2540E2" w14:textId="77777777" w:rsidTr="0073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1D59A4D1" w14:textId="145346A9" w:rsidR="0073756C" w:rsidRPr="00610B9D" w:rsidRDefault="00A75B78" w:rsidP="00610B9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</w:pPr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>a. Does the general practice have an effective handover syste</w:t>
            </w:r>
            <w:r w:rsidR="00610B9D"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 xml:space="preserve">m to ensure safe and continuing </w:t>
            </w:r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>healthcare delivery for patients (</w:t>
            </w:r>
            <w:proofErr w:type="spellStart"/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>eg</w:t>
            </w:r>
            <w:proofErr w:type="spellEnd"/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 xml:space="preserve"> buddy system for continued care in the GP</w:t>
            </w:r>
            <w:r>
              <w:rPr>
                <w:rFonts w:ascii="HelveticaNeueLTStd-Lt" w:eastAsia="HelveticaNeueLTStd-Lt" w:hAnsiTheme="minorHAnsi" w:cs="HelveticaNeueLTStd-Lt" w:hint="eastAsia"/>
                <w:color w:val="auto"/>
                <w:sz w:val="18"/>
                <w:szCs w:val="18"/>
              </w:rPr>
              <w:t>’</w:t>
            </w:r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>s absence)?</w:t>
            </w:r>
          </w:p>
        </w:tc>
        <w:tc>
          <w:tcPr>
            <w:tcW w:w="516" w:type="dxa"/>
            <w:shd w:val="clear" w:color="auto" w:fill="BDD6EE" w:themeFill="accent1" w:themeFillTint="66"/>
          </w:tcPr>
          <w:p w14:paraId="1314A5B1" w14:textId="77777777" w:rsidR="0073756C" w:rsidRDefault="0073756C" w:rsidP="00D575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73756C" w14:paraId="6E6546BF" w14:textId="77777777" w:rsidTr="00737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7957C5B3" w14:textId="2EA4145D" w:rsidR="0073756C" w:rsidRPr="003E3F9B" w:rsidRDefault="00A75B78" w:rsidP="003E3F9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</w:pPr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>b. Does the general practice facilitate GPs</w:t>
            </w:r>
            <w:r>
              <w:rPr>
                <w:rFonts w:ascii="HelveticaNeueLTStd-Lt" w:eastAsia="HelveticaNeueLTStd-Lt" w:hAnsiTheme="minorHAnsi" w:cs="HelveticaNeueLTStd-Lt" w:hint="eastAsia"/>
                <w:color w:val="auto"/>
                <w:sz w:val="18"/>
                <w:szCs w:val="18"/>
              </w:rPr>
              <w:t>’</w:t>
            </w:r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 xml:space="preserve"> access to information management dat</w:t>
            </w:r>
            <w:r w:rsidR="003E3F9B"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 xml:space="preserve">a to monitor </w:t>
            </w:r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>potential prescription drug abuse (</w:t>
            </w:r>
            <w:proofErr w:type="spellStart"/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>eg</w:t>
            </w:r>
            <w:proofErr w:type="spellEnd"/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 xml:space="preserve"> state and territory health ministries</w:t>
            </w:r>
            <w:r>
              <w:rPr>
                <w:rFonts w:ascii="HelveticaNeueLTStd-Lt" w:eastAsia="HelveticaNeueLTStd-Lt" w:hAnsiTheme="minorHAnsi" w:cs="HelveticaNeueLTStd-Lt" w:hint="eastAsia"/>
                <w:color w:val="auto"/>
                <w:sz w:val="18"/>
                <w:szCs w:val="18"/>
              </w:rPr>
              <w:t>’</w:t>
            </w:r>
            <w:r w:rsidR="003E3F9B"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 xml:space="preserve"> drug units and </w:t>
            </w:r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>Prescription Shopping Information Service [PSIS]</w:t>
            </w:r>
            <w:r w:rsidR="003E3F9B"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 xml:space="preserve"> or </w:t>
            </w:r>
            <w:proofErr w:type="spellStart"/>
            <w:r w:rsidR="003E3F9B"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>SafeScript</w:t>
            </w:r>
            <w:proofErr w:type="spellEnd"/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>)?</w:t>
            </w:r>
          </w:p>
        </w:tc>
        <w:tc>
          <w:tcPr>
            <w:tcW w:w="516" w:type="dxa"/>
            <w:shd w:val="clear" w:color="auto" w:fill="BDD6EE" w:themeFill="accent1" w:themeFillTint="66"/>
          </w:tcPr>
          <w:p w14:paraId="37485EB0" w14:textId="77777777" w:rsidR="0073756C" w:rsidRDefault="0073756C" w:rsidP="00D575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73756C" w14:paraId="65BB7B8B" w14:textId="77777777" w:rsidTr="0073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0A6C7A39" w14:textId="4CC320F7" w:rsidR="0073756C" w:rsidRPr="003E3F9B" w:rsidRDefault="00A75B78" w:rsidP="003E3F9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</w:pPr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 xml:space="preserve">c. Does the general practice allow GPs the right to discontinue care </w:t>
            </w:r>
            <w:r w:rsidR="003E3F9B"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 xml:space="preserve">of a patient who has behaved in </w:t>
            </w:r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>a violent or threatening manner?</w:t>
            </w:r>
          </w:p>
        </w:tc>
        <w:tc>
          <w:tcPr>
            <w:tcW w:w="516" w:type="dxa"/>
            <w:shd w:val="clear" w:color="auto" w:fill="BDD6EE" w:themeFill="accent1" w:themeFillTint="66"/>
          </w:tcPr>
          <w:p w14:paraId="7E999A25" w14:textId="77777777" w:rsidR="0073756C" w:rsidRDefault="0073756C" w:rsidP="00D575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73756C" w14:paraId="37C1A013" w14:textId="77777777" w:rsidTr="00737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690B751C" w14:textId="6CD7BEAC" w:rsidR="0073756C" w:rsidRPr="003E3F9B" w:rsidRDefault="00A75B78" w:rsidP="003E3F9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</w:pPr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 xml:space="preserve">d. If the general practice contains </w:t>
            </w:r>
            <w:proofErr w:type="gramStart"/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>a general practice-based</w:t>
            </w:r>
            <w:r w:rsidR="003E3F9B"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 xml:space="preserve"> drugs</w:t>
            </w:r>
            <w:proofErr w:type="gramEnd"/>
            <w:r w:rsidR="003E3F9B"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 xml:space="preserve"> of dependence management </w:t>
            </w:r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>program, does the general practice have a system of care to maximise health outcomes?</w:t>
            </w:r>
          </w:p>
        </w:tc>
        <w:tc>
          <w:tcPr>
            <w:tcW w:w="516" w:type="dxa"/>
            <w:shd w:val="clear" w:color="auto" w:fill="BDD6EE" w:themeFill="accent1" w:themeFillTint="66"/>
          </w:tcPr>
          <w:p w14:paraId="7798B0C0" w14:textId="77777777" w:rsidR="0073756C" w:rsidRDefault="0073756C" w:rsidP="00D575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73756C" w14:paraId="621A9794" w14:textId="77777777" w:rsidTr="00A75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5B9BD5" w:themeFill="accent1"/>
          </w:tcPr>
          <w:p w14:paraId="01DCA452" w14:textId="04849A3D" w:rsidR="0073756C" w:rsidRDefault="00A75B78" w:rsidP="00D57524">
            <w:pPr>
              <w:spacing w:after="0"/>
              <w:rPr>
                <w:rFonts w:cs="Arial"/>
                <w:bCs w:val="0"/>
              </w:rPr>
            </w:pPr>
            <w:r>
              <w:rPr>
                <w:rFonts w:ascii="HelveticaNeueLTStd-Bd" w:hAnsi="HelveticaNeueLTStd-Bd" w:cs="HelveticaNeueLTStd-Bd"/>
                <w:color w:val="FFFFFF"/>
                <w:sz w:val="21"/>
                <w:szCs w:val="21"/>
              </w:rPr>
              <w:t>4. Preventive health and screening</w:t>
            </w:r>
          </w:p>
        </w:tc>
        <w:tc>
          <w:tcPr>
            <w:tcW w:w="516" w:type="dxa"/>
            <w:shd w:val="clear" w:color="auto" w:fill="BDD6EE" w:themeFill="accent1" w:themeFillTint="66"/>
          </w:tcPr>
          <w:p w14:paraId="08989F0E" w14:textId="77777777" w:rsidR="0073756C" w:rsidRDefault="0073756C" w:rsidP="00D575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73756C" w14:paraId="52D0E967" w14:textId="77777777" w:rsidTr="00737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3BAD1908" w14:textId="3310E888" w:rsidR="0073756C" w:rsidRPr="003E3F9B" w:rsidRDefault="00A75B78" w:rsidP="003E3F9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</w:pPr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>a. Is there evidence that GPs use urine drug screening to det</w:t>
            </w:r>
            <w:r w:rsidR="003E3F9B"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 xml:space="preserve">ect misuse or abuse of drugs of </w:t>
            </w:r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>dependence?</w:t>
            </w:r>
          </w:p>
        </w:tc>
        <w:tc>
          <w:tcPr>
            <w:tcW w:w="516" w:type="dxa"/>
            <w:shd w:val="clear" w:color="auto" w:fill="BDD6EE" w:themeFill="accent1" w:themeFillTint="66"/>
          </w:tcPr>
          <w:p w14:paraId="7AA62470" w14:textId="77777777" w:rsidR="0073756C" w:rsidRDefault="0073756C" w:rsidP="00D575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73756C" w14:paraId="44B7B158" w14:textId="77777777" w:rsidTr="00A75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5B9BD5" w:themeFill="accent1"/>
          </w:tcPr>
          <w:p w14:paraId="4D2A1D1B" w14:textId="208C62B1" w:rsidR="0073756C" w:rsidRDefault="00A75B78" w:rsidP="00D57524">
            <w:pPr>
              <w:spacing w:after="0"/>
              <w:rPr>
                <w:rFonts w:cs="Arial"/>
                <w:bCs w:val="0"/>
              </w:rPr>
            </w:pPr>
            <w:r>
              <w:rPr>
                <w:rFonts w:ascii="HelveticaNeueLTStd-Bd" w:hAnsi="HelveticaNeueLTStd-Bd" w:cs="HelveticaNeueLTStd-Bd"/>
                <w:color w:val="FFFFFF"/>
                <w:sz w:val="21"/>
                <w:szCs w:val="21"/>
              </w:rPr>
              <w:t>5. Clinical documentation</w:t>
            </w:r>
          </w:p>
        </w:tc>
        <w:tc>
          <w:tcPr>
            <w:tcW w:w="516" w:type="dxa"/>
            <w:shd w:val="clear" w:color="auto" w:fill="BDD6EE" w:themeFill="accent1" w:themeFillTint="66"/>
          </w:tcPr>
          <w:p w14:paraId="63AB7BC2" w14:textId="77777777" w:rsidR="0073756C" w:rsidRDefault="0073756C" w:rsidP="00D575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73756C" w14:paraId="05085CD9" w14:textId="77777777" w:rsidTr="00737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13C919E1" w14:textId="6D2A730E" w:rsidR="0073756C" w:rsidRPr="003E3F9B" w:rsidRDefault="00A75B78" w:rsidP="003E3F9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</w:pPr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>a. Do GPs ensure patient records are clear, up to date and contain sufficient information for another</w:t>
            </w:r>
            <w:r w:rsidR="003E3F9B"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>practitioner to take over care?</w:t>
            </w:r>
          </w:p>
        </w:tc>
        <w:tc>
          <w:tcPr>
            <w:tcW w:w="516" w:type="dxa"/>
            <w:shd w:val="clear" w:color="auto" w:fill="BDD6EE" w:themeFill="accent1" w:themeFillTint="66"/>
          </w:tcPr>
          <w:p w14:paraId="24F27893" w14:textId="77777777" w:rsidR="0073756C" w:rsidRDefault="0073756C" w:rsidP="00D575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73756C" w14:paraId="39C23A9A" w14:textId="77777777" w:rsidTr="00A75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5B9BD5" w:themeFill="accent1"/>
          </w:tcPr>
          <w:p w14:paraId="50C59982" w14:textId="59B4AD67" w:rsidR="0073756C" w:rsidRDefault="00A75B78" w:rsidP="00D57524">
            <w:pPr>
              <w:spacing w:after="0"/>
              <w:rPr>
                <w:rFonts w:cs="Arial"/>
                <w:bCs w:val="0"/>
              </w:rPr>
            </w:pPr>
            <w:r>
              <w:rPr>
                <w:rFonts w:ascii="HelveticaNeueLTStd-Bd" w:hAnsi="HelveticaNeueLTStd-Bd" w:cs="HelveticaNeueLTStd-Bd"/>
                <w:color w:val="FFFFFF"/>
                <w:sz w:val="21"/>
                <w:szCs w:val="21"/>
              </w:rPr>
              <w:t>6. Clinical assessment</w:t>
            </w:r>
          </w:p>
        </w:tc>
        <w:tc>
          <w:tcPr>
            <w:tcW w:w="516" w:type="dxa"/>
            <w:shd w:val="clear" w:color="auto" w:fill="BDD6EE" w:themeFill="accent1" w:themeFillTint="66"/>
          </w:tcPr>
          <w:p w14:paraId="479EFFA5" w14:textId="77777777" w:rsidR="0073756C" w:rsidRDefault="0073756C" w:rsidP="00D575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73756C" w14:paraId="29A39934" w14:textId="77777777" w:rsidTr="00737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577B58AE" w14:textId="545F73B2" w:rsidR="0073756C" w:rsidRPr="003E3F9B" w:rsidRDefault="00A75B78" w:rsidP="003E3F9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</w:pPr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>a. Is there evidence of an adequate assessment and management</w:t>
            </w:r>
            <w:r w:rsidR="003E3F9B"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 xml:space="preserve"> plan for each patient taking a </w:t>
            </w:r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>drug of dependence?</w:t>
            </w:r>
          </w:p>
        </w:tc>
        <w:tc>
          <w:tcPr>
            <w:tcW w:w="516" w:type="dxa"/>
            <w:shd w:val="clear" w:color="auto" w:fill="BDD6EE" w:themeFill="accent1" w:themeFillTint="66"/>
          </w:tcPr>
          <w:p w14:paraId="3205F563" w14:textId="77777777" w:rsidR="0073756C" w:rsidRDefault="0073756C" w:rsidP="00D575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73756C" w14:paraId="4BEAAA7A" w14:textId="77777777" w:rsidTr="00A75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5B9BD5" w:themeFill="accent1"/>
          </w:tcPr>
          <w:p w14:paraId="700D61FE" w14:textId="506B413D" w:rsidR="0073756C" w:rsidRDefault="00A75B78" w:rsidP="00D57524">
            <w:pPr>
              <w:spacing w:after="0"/>
              <w:rPr>
                <w:rFonts w:cs="Arial"/>
                <w:bCs w:val="0"/>
              </w:rPr>
            </w:pPr>
            <w:r>
              <w:rPr>
                <w:rFonts w:ascii="HelveticaNeueLTStd-Bd" w:hAnsi="HelveticaNeueLTStd-Bd" w:cs="HelveticaNeueLTStd-Bd"/>
                <w:color w:val="FFFFFF"/>
                <w:sz w:val="21"/>
                <w:szCs w:val="21"/>
              </w:rPr>
              <w:t>7. Clinical management</w:t>
            </w:r>
          </w:p>
        </w:tc>
        <w:tc>
          <w:tcPr>
            <w:tcW w:w="516" w:type="dxa"/>
            <w:shd w:val="clear" w:color="auto" w:fill="BDD6EE" w:themeFill="accent1" w:themeFillTint="66"/>
          </w:tcPr>
          <w:p w14:paraId="4C75527F" w14:textId="77777777" w:rsidR="0073756C" w:rsidRDefault="0073756C" w:rsidP="00D575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73756C" w14:paraId="7163C6B5" w14:textId="77777777" w:rsidTr="00737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6E40E54E" w14:textId="4DAC71A2" w:rsidR="0073756C" w:rsidRPr="003E3F9B" w:rsidRDefault="00A75B78" w:rsidP="003E3F9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</w:pPr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>a. Do GPs use principles of universal precautions to guide their a</w:t>
            </w:r>
            <w:r w:rsidR="003E3F9B"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 xml:space="preserve">pproach to patients who require </w:t>
            </w:r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>drugs of dependence?</w:t>
            </w:r>
          </w:p>
        </w:tc>
        <w:tc>
          <w:tcPr>
            <w:tcW w:w="516" w:type="dxa"/>
            <w:shd w:val="clear" w:color="auto" w:fill="BDD6EE" w:themeFill="accent1" w:themeFillTint="66"/>
          </w:tcPr>
          <w:p w14:paraId="4AA9DBD8" w14:textId="77777777" w:rsidR="0073756C" w:rsidRDefault="0073756C" w:rsidP="00D575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73756C" w14:paraId="2FE1C1B3" w14:textId="77777777" w:rsidTr="0073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499789DD" w14:textId="5500C4F1" w:rsidR="0073756C" w:rsidRPr="003E3F9B" w:rsidRDefault="00A75B78" w:rsidP="003E3F9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</w:pPr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>b. Do GPs use specialist support to manage problematic drug us</w:t>
            </w:r>
            <w:r w:rsidR="003E3F9B"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 xml:space="preserve">e in patients with more complex </w:t>
            </w:r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>issues or if the clinical situation deteriorates?</w:t>
            </w:r>
          </w:p>
        </w:tc>
        <w:tc>
          <w:tcPr>
            <w:tcW w:w="516" w:type="dxa"/>
            <w:shd w:val="clear" w:color="auto" w:fill="BDD6EE" w:themeFill="accent1" w:themeFillTint="66"/>
          </w:tcPr>
          <w:p w14:paraId="5590D254" w14:textId="77777777" w:rsidR="0073756C" w:rsidRDefault="0073756C" w:rsidP="00D575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73756C" w14:paraId="3F38D353" w14:textId="77777777" w:rsidTr="00A75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5B9BD5" w:themeFill="accent1"/>
          </w:tcPr>
          <w:p w14:paraId="4F84C0A5" w14:textId="1D50818B" w:rsidR="0073756C" w:rsidRDefault="00A75B78" w:rsidP="00D57524">
            <w:pPr>
              <w:spacing w:after="0"/>
              <w:rPr>
                <w:rFonts w:cs="Arial"/>
                <w:bCs w:val="0"/>
              </w:rPr>
            </w:pPr>
            <w:r>
              <w:rPr>
                <w:rFonts w:ascii="HelveticaNeueLTStd-Bd" w:hAnsi="HelveticaNeueLTStd-Bd" w:cs="HelveticaNeueLTStd-Bd"/>
                <w:color w:val="FFFFFF"/>
                <w:sz w:val="21"/>
                <w:szCs w:val="21"/>
              </w:rPr>
              <w:t>8. Prescribing safety</w:t>
            </w:r>
          </w:p>
        </w:tc>
        <w:tc>
          <w:tcPr>
            <w:tcW w:w="516" w:type="dxa"/>
            <w:shd w:val="clear" w:color="auto" w:fill="BDD6EE" w:themeFill="accent1" w:themeFillTint="66"/>
          </w:tcPr>
          <w:p w14:paraId="32DF652A" w14:textId="77777777" w:rsidR="0073756C" w:rsidRDefault="0073756C" w:rsidP="00D575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73756C" w14:paraId="229984E0" w14:textId="77777777" w:rsidTr="0073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74021542" w14:textId="291EC27F" w:rsidR="0073756C" w:rsidRPr="00610B9D" w:rsidRDefault="00A75B78" w:rsidP="00610B9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</w:pPr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 xml:space="preserve">a. Do GPs prescribe within legislative frameworks and comply </w:t>
            </w:r>
            <w:r w:rsidR="00610B9D"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 xml:space="preserve">with professional standards and </w:t>
            </w:r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>approved clinical guidelines?</w:t>
            </w:r>
          </w:p>
        </w:tc>
        <w:tc>
          <w:tcPr>
            <w:tcW w:w="516" w:type="dxa"/>
            <w:shd w:val="clear" w:color="auto" w:fill="BDD6EE" w:themeFill="accent1" w:themeFillTint="66"/>
          </w:tcPr>
          <w:p w14:paraId="0EF686AE" w14:textId="77777777" w:rsidR="0073756C" w:rsidRDefault="0073756C" w:rsidP="00D575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A75B78" w14:paraId="5F3FC055" w14:textId="77777777" w:rsidTr="00737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396E0FC8" w14:textId="7EE885A8" w:rsidR="00A75B78" w:rsidRPr="003E3F9B" w:rsidRDefault="00A75B78" w:rsidP="003E3F9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</w:pPr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>b. Do GPs ensure a permit or authority from the relevant state or t</w:t>
            </w:r>
            <w:r w:rsidR="003E3F9B"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 xml:space="preserve">erritory health department when </w:t>
            </w:r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>prescribing a Schedule 8 (S8) drug to a patient who is drug dependent?</w:t>
            </w:r>
          </w:p>
        </w:tc>
        <w:tc>
          <w:tcPr>
            <w:tcW w:w="516" w:type="dxa"/>
            <w:shd w:val="clear" w:color="auto" w:fill="BDD6EE" w:themeFill="accent1" w:themeFillTint="66"/>
          </w:tcPr>
          <w:p w14:paraId="4E604B90" w14:textId="77777777" w:rsidR="00A75B78" w:rsidRDefault="00A75B78" w:rsidP="00D575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A75B78" w14:paraId="6C1E030B" w14:textId="77777777" w:rsidTr="0073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4A13B6F8" w14:textId="0D1FC358" w:rsidR="00A75B78" w:rsidRPr="003E3F9B" w:rsidRDefault="00A75B78" w:rsidP="003E3F9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</w:pPr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 xml:space="preserve">c. Do GPs inform patients that drugs of dependence are to </w:t>
            </w:r>
            <w:proofErr w:type="gramStart"/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>be prescribed</w:t>
            </w:r>
            <w:proofErr w:type="gramEnd"/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 xml:space="preserve"> from one practi</w:t>
            </w:r>
            <w:r w:rsidR="003E3F9B"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 xml:space="preserve">ce and </w:t>
            </w:r>
            <w:r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  <w:t>preferably by one GP, and drugs should be dispensed from one pharmacy?</w:t>
            </w:r>
          </w:p>
        </w:tc>
        <w:tc>
          <w:tcPr>
            <w:tcW w:w="516" w:type="dxa"/>
            <w:shd w:val="clear" w:color="auto" w:fill="BDD6EE" w:themeFill="accent1" w:themeFillTint="66"/>
          </w:tcPr>
          <w:p w14:paraId="715F326A" w14:textId="77777777" w:rsidR="00A75B78" w:rsidRDefault="00A75B78" w:rsidP="00D575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A75B78" w14:paraId="363A45C8" w14:textId="77777777" w:rsidTr="00A75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5B9BD5" w:themeFill="accent1"/>
          </w:tcPr>
          <w:p w14:paraId="2EC442F6" w14:textId="3B41543E" w:rsidR="00A75B78" w:rsidRDefault="00A75B78" w:rsidP="00A75B7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</w:pPr>
            <w:r>
              <w:rPr>
                <w:rFonts w:ascii="HelveticaNeueLTStd-Bd" w:hAnsi="HelveticaNeueLTStd-Bd" w:cs="HelveticaNeueLTStd-Bd"/>
                <w:color w:val="FFFFFF"/>
                <w:sz w:val="21"/>
                <w:szCs w:val="21"/>
              </w:rPr>
              <w:t>9. Clinical practice review</w:t>
            </w:r>
          </w:p>
        </w:tc>
        <w:tc>
          <w:tcPr>
            <w:tcW w:w="516" w:type="dxa"/>
            <w:shd w:val="clear" w:color="auto" w:fill="BDD6EE" w:themeFill="accent1" w:themeFillTint="66"/>
          </w:tcPr>
          <w:p w14:paraId="3A49A48B" w14:textId="77777777" w:rsidR="00A75B78" w:rsidRDefault="00A75B78" w:rsidP="00D575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A75B78" w14:paraId="18644504" w14:textId="77777777" w:rsidTr="0073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3457B432" w14:textId="55CBEC7C" w:rsidR="00A75B78" w:rsidRPr="003E3F9B" w:rsidRDefault="00A75B78" w:rsidP="00A75B7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eastAsia="HelveticaNeueLTStd-Lt" w:hAnsiTheme="minorHAnsi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Lt" w:eastAsia="HelveticaNeueLTStd-Lt" w:hAnsiTheme="minorHAnsi" w:cs="HelveticaNeueLTStd-Lt"/>
                <w:color w:val="000000"/>
                <w:sz w:val="18"/>
                <w:szCs w:val="18"/>
              </w:rPr>
              <w:t>a. Do GPs have a structured approach to reviewing opioid prescriptio</w:t>
            </w:r>
            <w:r w:rsidR="003E3F9B">
              <w:rPr>
                <w:rFonts w:ascii="HelveticaNeueLTStd-Lt" w:eastAsia="HelveticaNeueLTStd-Lt" w:hAnsiTheme="minorHAnsi" w:cs="HelveticaNeueLTStd-Lt"/>
                <w:color w:val="000000"/>
                <w:sz w:val="18"/>
                <w:szCs w:val="18"/>
              </w:rPr>
              <w:t>ns after 12 months? (</w:t>
            </w:r>
            <w:proofErr w:type="spellStart"/>
            <w:r w:rsidR="003E3F9B">
              <w:rPr>
                <w:rFonts w:ascii="HelveticaNeueLTStd-Lt" w:eastAsia="HelveticaNeueLTStd-Lt" w:hAnsiTheme="minorHAnsi" w:cs="HelveticaNeueLTStd-Lt"/>
                <w:color w:val="000000"/>
                <w:sz w:val="18"/>
                <w:szCs w:val="18"/>
              </w:rPr>
              <w:t>eg</w:t>
            </w:r>
            <w:proofErr w:type="spellEnd"/>
            <w:r w:rsidR="003E3F9B">
              <w:rPr>
                <w:rFonts w:ascii="HelveticaNeueLTStd-Lt" w:eastAsia="HelveticaNeueLTStd-Lt" w:hAnsiTheme="minorHAnsi" w:cs="HelveticaNeueLTStd-Lt"/>
                <w:color w:val="000000"/>
                <w:sz w:val="18"/>
                <w:szCs w:val="18"/>
              </w:rPr>
              <w:t xml:space="preserve"> similar </w:t>
            </w:r>
            <w:r>
              <w:rPr>
                <w:rFonts w:ascii="HelveticaNeueLTStd-Lt" w:eastAsia="HelveticaNeueLTStd-Lt" w:hAnsiTheme="minorHAnsi" w:cs="HelveticaNeueLTStd-Lt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HelveticaNeueLTStd-LtIt" w:eastAsia="HelveticaNeueLTStd-Lt" w:hAnsi="HelveticaNeueLTStd-LtIt" w:cs="HelveticaNeueLTStd-LtIt"/>
                <w:i/>
                <w:iCs/>
                <w:color w:val="E61F0C"/>
                <w:sz w:val="18"/>
                <w:szCs w:val="18"/>
              </w:rPr>
              <w:t>Appendix D.10</w:t>
            </w:r>
            <w:r w:rsidR="00610B9D">
              <w:rPr>
                <w:rFonts w:ascii="HelveticaNeueLTStd-LtIt" w:eastAsia="HelveticaNeueLTStd-Lt" w:hAnsi="HelveticaNeueLTStd-LtIt" w:cs="HelveticaNeueLTStd-LtIt"/>
                <w:i/>
                <w:iCs/>
                <w:color w:val="E61F0C"/>
                <w:sz w:val="18"/>
                <w:szCs w:val="18"/>
              </w:rPr>
              <w:t xml:space="preserve"> of </w:t>
            </w:r>
            <w:hyperlink r:id="rId11" w:history="1">
              <w:r w:rsidR="00610B9D" w:rsidRPr="00610B9D">
                <w:rPr>
                  <w:rStyle w:val="Hyperlink"/>
                  <w:rFonts w:ascii="HelveticaNeueLTStd-LtIt" w:eastAsia="HelveticaNeueLTStd-Lt" w:hAnsi="HelveticaNeueLTStd-LtIt" w:cs="HelveticaNeueLTStd-LtIt"/>
                  <w:b w:val="0"/>
                  <w:bCs w:val="0"/>
                  <w:i/>
                  <w:iCs/>
                  <w:sz w:val="19"/>
                  <w:szCs w:val="19"/>
                </w:rPr>
                <w:t>Prescribing drugs of dependence in general practice – Part A</w:t>
              </w:r>
            </w:hyperlink>
            <w:r>
              <w:rPr>
                <w:rFonts w:ascii="HelveticaNeueLTStd-Lt" w:eastAsia="HelveticaNeueLTStd-Lt" w:hAnsiTheme="minorHAnsi" w:cs="HelveticaNeueLTStd-Lt"/>
                <w:color w:val="000000"/>
                <w:sz w:val="18"/>
                <w:szCs w:val="18"/>
              </w:rPr>
              <w:t>)</w:t>
            </w:r>
          </w:p>
        </w:tc>
        <w:tc>
          <w:tcPr>
            <w:tcW w:w="516" w:type="dxa"/>
            <w:shd w:val="clear" w:color="auto" w:fill="BDD6EE" w:themeFill="accent1" w:themeFillTint="66"/>
          </w:tcPr>
          <w:p w14:paraId="23A8A8E6" w14:textId="77777777" w:rsidR="00A75B78" w:rsidRDefault="00A75B78" w:rsidP="00D575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A75B78" w14:paraId="5170F2A1" w14:textId="77777777" w:rsidTr="00A75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5B9BD5" w:themeFill="accent1"/>
          </w:tcPr>
          <w:p w14:paraId="557DA890" w14:textId="1B9869B3" w:rsidR="00A75B78" w:rsidRDefault="00A75B78" w:rsidP="00A75B7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</w:pPr>
            <w:r>
              <w:rPr>
                <w:rFonts w:ascii="HelveticaNeueLTStd-Bd" w:hAnsi="HelveticaNeueLTStd-Bd" w:cs="HelveticaNeueLTStd-Bd"/>
                <w:color w:val="FFFFFF"/>
                <w:sz w:val="21"/>
                <w:szCs w:val="21"/>
              </w:rPr>
              <w:t>10. Populations for intervention</w:t>
            </w:r>
          </w:p>
        </w:tc>
        <w:tc>
          <w:tcPr>
            <w:tcW w:w="516" w:type="dxa"/>
            <w:shd w:val="clear" w:color="auto" w:fill="BDD6EE" w:themeFill="accent1" w:themeFillTint="66"/>
          </w:tcPr>
          <w:p w14:paraId="50B88270" w14:textId="77777777" w:rsidR="00A75B78" w:rsidRDefault="00A75B78" w:rsidP="00D575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A75B78" w14:paraId="7E3FB8C9" w14:textId="77777777" w:rsidTr="0073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59C889CD" w14:textId="77777777" w:rsidR="00A75B78" w:rsidRDefault="00A75B78" w:rsidP="00A75B7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eastAsia="HelveticaNeueLTStd-Lt" w:hAnsiTheme="minorHAnsi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Lt" w:eastAsia="HelveticaNeueLTStd-Lt" w:hAnsiTheme="minorHAnsi" w:cs="HelveticaNeueLTStd-Lt"/>
                <w:color w:val="000000"/>
                <w:sz w:val="18"/>
                <w:szCs w:val="18"/>
              </w:rPr>
              <w:t>a. Does the general practice engage in population interventions to reduce use of drugs of</w:t>
            </w:r>
          </w:p>
          <w:p w14:paraId="072E2031" w14:textId="24D658DF" w:rsidR="00A75B78" w:rsidRDefault="00A75B78" w:rsidP="00A75B7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eastAsia="HelveticaNeueLTStd-Lt" w:hAnsiTheme="minorHAnsi" w:cs="HelveticaNeueLTStd-Lt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HelveticaNeueLTStd-Lt" w:eastAsia="HelveticaNeueLTStd-Lt" w:hAnsiTheme="minorHAnsi" w:cs="HelveticaNeueLTStd-Lt"/>
                <w:color w:val="000000"/>
                <w:sz w:val="18"/>
                <w:szCs w:val="18"/>
              </w:rPr>
              <w:t>dependence</w:t>
            </w:r>
            <w:proofErr w:type="gramEnd"/>
            <w:r>
              <w:rPr>
                <w:rFonts w:ascii="HelveticaNeueLTStd-Lt" w:eastAsia="HelveticaNeueLTStd-Lt" w:hAnsiTheme="minorHAnsi" w:cs="HelveticaNeueLTStd-Lt"/>
                <w:color w:val="000000"/>
                <w:sz w:val="18"/>
                <w:szCs w:val="18"/>
              </w:rPr>
              <w:t>? (</w:t>
            </w:r>
            <w:proofErr w:type="spellStart"/>
            <w:r>
              <w:rPr>
                <w:rFonts w:ascii="HelveticaNeueLTStd-Lt" w:eastAsia="HelveticaNeueLTStd-Lt" w:hAnsiTheme="minorHAnsi" w:cs="HelveticaNeueLTStd-Lt"/>
                <w:color w:val="000000"/>
                <w:sz w:val="18"/>
                <w:szCs w:val="18"/>
              </w:rPr>
              <w:t>eg</w:t>
            </w:r>
            <w:proofErr w:type="spellEnd"/>
            <w:r>
              <w:rPr>
                <w:rFonts w:ascii="HelveticaNeueLTStd-Lt" w:eastAsia="HelveticaNeueLTStd-Lt" w:hAnsiTheme="minorHAnsi" w:cs="HelveticaNeueLTStd-Lt"/>
                <w:color w:val="000000"/>
                <w:sz w:val="18"/>
                <w:szCs w:val="18"/>
              </w:rPr>
              <w:t xml:space="preserve"> reducing benzodiazepines use through a practice letter similar to </w:t>
            </w:r>
            <w:r>
              <w:rPr>
                <w:rFonts w:ascii="HelveticaNeueLTStd-LtIt" w:eastAsia="HelveticaNeueLTStd-Lt" w:hAnsi="HelveticaNeueLTStd-LtIt" w:cs="HelveticaNeueLTStd-LtIt"/>
                <w:i/>
                <w:iCs/>
                <w:color w:val="E61F0C"/>
                <w:sz w:val="18"/>
                <w:szCs w:val="18"/>
              </w:rPr>
              <w:t>Appendix E.1</w:t>
            </w:r>
            <w:r w:rsidR="00610B9D">
              <w:rPr>
                <w:rFonts w:ascii="HelveticaNeueLTStd-LtIt" w:eastAsia="HelveticaNeueLTStd-Lt" w:hAnsi="HelveticaNeueLTStd-LtIt" w:cs="HelveticaNeueLTStd-LtIt"/>
                <w:i/>
                <w:iCs/>
                <w:color w:val="E61F0C"/>
                <w:sz w:val="18"/>
                <w:szCs w:val="18"/>
              </w:rPr>
              <w:t xml:space="preserve"> of </w:t>
            </w:r>
            <w:hyperlink r:id="rId12" w:history="1">
              <w:r w:rsidR="00610B9D" w:rsidRPr="00610B9D">
                <w:rPr>
                  <w:rStyle w:val="Hyperlink"/>
                  <w:rFonts w:ascii="HelveticaNeueLTStd-LtIt" w:eastAsia="HelveticaNeueLTStd-Lt" w:hAnsi="HelveticaNeueLTStd-LtIt" w:cs="HelveticaNeueLTStd-LtIt"/>
                  <w:b w:val="0"/>
                  <w:bCs w:val="0"/>
                  <w:i/>
                  <w:iCs/>
                  <w:sz w:val="19"/>
                  <w:szCs w:val="19"/>
                </w:rPr>
                <w:t>Prescribing drugs of dependence in general practice – Part A</w:t>
              </w:r>
            </w:hyperlink>
            <w:r>
              <w:rPr>
                <w:rFonts w:ascii="HelveticaNeueLTStd-Lt" w:eastAsia="HelveticaNeueLTStd-Lt" w:hAnsiTheme="minorHAnsi" w:cs="HelveticaNeueLTStd-Lt"/>
                <w:color w:val="000000"/>
                <w:sz w:val="18"/>
                <w:szCs w:val="18"/>
              </w:rPr>
              <w:t>)</w:t>
            </w:r>
          </w:p>
        </w:tc>
        <w:tc>
          <w:tcPr>
            <w:tcW w:w="516" w:type="dxa"/>
            <w:shd w:val="clear" w:color="auto" w:fill="BDD6EE" w:themeFill="accent1" w:themeFillTint="66"/>
          </w:tcPr>
          <w:p w14:paraId="0F95BB51" w14:textId="77777777" w:rsidR="00A75B78" w:rsidRDefault="00A75B78" w:rsidP="00D575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</w:tbl>
    <w:p w14:paraId="6E9ACFA7" w14:textId="77777777" w:rsidR="00553E97" w:rsidRPr="00D57524" w:rsidRDefault="00553E97" w:rsidP="00D57524">
      <w:pPr>
        <w:spacing w:after="0"/>
        <w:rPr>
          <w:rFonts w:cs="Arial"/>
          <w:bCs/>
        </w:rPr>
      </w:pPr>
    </w:p>
    <w:p w14:paraId="37E90D32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4F97585B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346480AA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4A0545C0" w14:textId="77777777" w:rsidR="003E3F9B" w:rsidRDefault="003E3F9B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5254C115" w14:textId="77777777" w:rsidR="003E3F9B" w:rsidRDefault="003E3F9B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142B9BD6" w14:textId="77777777" w:rsidR="003E3F9B" w:rsidRDefault="003E3F9B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76C0A9FF" w14:textId="77777777" w:rsidR="003E3F9B" w:rsidRDefault="003E3F9B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69456FED" w14:textId="77777777" w:rsidR="003E3F9B" w:rsidRDefault="003E3F9B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3D3B6511" w14:textId="77777777" w:rsidR="006D1284" w:rsidRDefault="006D1284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  <w:r>
        <w:rPr>
          <w:rFonts w:eastAsia="Times New Roman" w:cs="Arial"/>
          <w:color w:val="0070C0"/>
          <w:sz w:val="28"/>
          <w:szCs w:val="28"/>
          <w:lang w:val="en-GB" w:eastAsia="en-AU"/>
        </w:rPr>
        <w:t>Disclaimer</w:t>
      </w:r>
    </w:p>
    <w:p w14:paraId="0A80BD97" w14:textId="77777777" w:rsidR="000351B1" w:rsidRPr="0002280E" w:rsidRDefault="000351B1" w:rsidP="000351B1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02280E">
        <w:rPr>
          <w:rFonts w:cs="Arial"/>
          <w:sz w:val="16"/>
          <w:szCs w:val="16"/>
        </w:rPr>
        <w:t xml:space="preserve">The information set out in this publication is current at the date of first publication and </w:t>
      </w:r>
      <w:proofErr w:type="gramStart"/>
      <w:r w:rsidRPr="0002280E">
        <w:rPr>
          <w:rFonts w:cs="Arial"/>
          <w:sz w:val="16"/>
          <w:szCs w:val="16"/>
        </w:rPr>
        <w:t>is intended</w:t>
      </w:r>
      <w:proofErr w:type="gramEnd"/>
      <w:r w:rsidRPr="0002280E">
        <w:rPr>
          <w:rFonts w:cs="Arial"/>
          <w:sz w:val="16"/>
          <w:szCs w:val="16"/>
        </w:rPr>
        <w:t xml:space="preserve"> for use as a guide of a general nature only and may or may not be relevant to particular patients or circumstances. Nor is this publication exhaustive of the subject matter.</w:t>
      </w:r>
      <w:r>
        <w:rPr>
          <w:rFonts w:cs="Arial"/>
          <w:sz w:val="16"/>
          <w:szCs w:val="16"/>
        </w:rPr>
        <w:t xml:space="preserve"> It is no substitute for individual inquiry. </w:t>
      </w:r>
      <w:r w:rsidRPr="0002280E">
        <w:rPr>
          <w:rFonts w:cs="Arial"/>
          <w:sz w:val="16"/>
          <w:szCs w:val="16"/>
        </w:rPr>
        <w:t xml:space="preserve">Compliance with any recommendations </w:t>
      </w:r>
      <w:r>
        <w:rPr>
          <w:rFonts w:cs="Arial"/>
          <w:sz w:val="16"/>
          <w:szCs w:val="16"/>
        </w:rPr>
        <w:t>does not</w:t>
      </w:r>
      <w:r w:rsidRPr="0002280E">
        <w:rPr>
          <w:rFonts w:cs="Arial"/>
          <w:sz w:val="16"/>
          <w:szCs w:val="16"/>
        </w:rPr>
        <w:t xml:space="preserve"> guarantee discharge of the duty of care owed to patients</w:t>
      </w:r>
      <w:r>
        <w:rPr>
          <w:rFonts w:cs="Arial"/>
          <w:sz w:val="16"/>
          <w:szCs w:val="16"/>
        </w:rPr>
        <w:t xml:space="preserve">. </w:t>
      </w:r>
      <w:r w:rsidRPr="0002280E">
        <w:rPr>
          <w:rFonts w:cs="Arial"/>
          <w:sz w:val="16"/>
          <w:szCs w:val="16"/>
        </w:rPr>
        <w:t xml:space="preserve">The RACGP and its employees and agents </w:t>
      </w:r>
      <w:r>
        <w:rPr>
          <w:rFonts w:cs="Arial"/>
          <w:sz w:val="16"/>
          <w:szCs w:val="16"/>
        </w:rPr>
        <w:t>have</w:t>
      </w:r>
      <w:r w:rsidRPr="0002280E">
        <w:rPr>
          <w:rFonts w:cs="Arial"/>
          <w:sz w:val="16"/>
          <w:szCs w:val="16"/>
        </w:rPr>
        <w:t xml:space="preserve"> no liability (including </w:t>
      </w:r>
      <w:r>
        <w:rPr>
          <w:rFonts w:cs="Arial"/>
          <w:sz w:val="16"/>
          <w:szCs w:val="16"/>
        </w:rPr>
        <w:t>for</w:t>
      </w:r>
      <w:r w:rsidRPr="0002280E">
        <w:rPr>
          <w:rFonts w:cs="Arial"/>
          <w:sz w:val="16"/>
          <w:szCs w:val="16"/>
        </w:rPr>
        <w:t xml:space="preserve"> negligence) to any users of the information contained in this publication</w:t>
      </w:r>
      <w:r>
        <w:rPr>
          <w:rFonts w:cs="Arial"/>
          <w:sz w:val="16"/>
          <w:szCs w:val="16"/>
        </w:rPr>
        <w:t>.</w:t>
      </w:r>
      <w:r w:rsidRPr="0002280E">
        <w:rPr>
          <w:rFonts w:cs="Arial"/>
          <w:sz w:val="16"/>
          <w:szCs w:val="16"/>
        </w:rPr>
        <w:t xml:space="preserve"> </w:t>
      </w:r>
    </w:p>
    <w:p w14:paraId="07F61278" w14:textId="77777777" w:rsidR="000351B1" w:rsidRPr="0002280E" w:rsidRDefault="000351B1" w:rsidP="000351B1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062F2A14" w14:textId="0A45E68C" w:rsidR="000351B1" w:rsidRPr="0002280E" w:rsidRDefault="000351B1" w:rsidP="000351B1">
      <w:pPr>
        <w:spacing w:after="0" w:line="240" w:lineRule="auto"/>
        <w:rPr>
          <w:rFonts w:cs="Arial"/>
          <w:sz w:val="16"/>
          <w:szCs w:val="16"/>
          <w:highlight w:val="yellow"/>
        </w:rPr>
      </w:pPr>
      <w:r w:rsidRPr="0002280E">
        <w:rPr>
          <w:rFonts w:cs="Arial"/>
          <w:sz w:val="16"/>
          <w:szCs w:val="16"/>
        </w:rPr>
        <w:t xml:space="preserve">© The Royal Australian College of General </w:t>
      </w:r>
      <w:r w:rsidRPr="00E83AB2">
        <w:rPr>
          <w:rFonts w:cs="Arial"/>
          <w:sz w:val="16"/>
          <w:szCs w:val="16"/>
        </w:rPr>
        <w:t xml:space="preserve">Practitioners </w:t>
      </w:r>
      <w:r w:rsidR="00E83AB2" w:rsidRPr="00E83AB2">
        <w:rPr>
          <w:rFonts w:cs="Arial"/>
          <w:sz w:val="16"/>
          <w:szCs w:val="16"/>
        </w:rPr>
        <w:t>[2019</w:t>
      </w:r>
      <w:r w:rsidRPr="00E83AB2">
        <w:rPr>
          <w:rFonts w:cs="Arial"/>
          <w:sz w:val="16"/>
          <w:szCs w:val="16"/>
        </w:rPr>
        <w:t>]</w:t>
      </w:r>
    </w:p>
    <w:p w14:paraId="5A6DF717" w14:textId="77777777" w:rsidR="000351B1" w:rsidRPr="0002280E" w:rsidRDefault="000351B1" w:rsidP="000351B1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47AD1EA3" w14:textId="77777777" w:rsidR="000351B1" w:rsidRDefault="00610B9D" w:rsidP="000351B1">
      <w:pPr>
        <w:spacing w:after="0" w:line="240" w:lineRule="auto"/>
        <w:rPr>
          <w:rFonts w:cs="Arial"/>
          <w:sz w:val="16"/>
          <w:szCs w:val="16"/>
        </w:rPr>
      </w:pPr>
      <w:hyperlink r:id="rId13" w:history="1"/>
      <w:hyperlink r:id="rId14" w:history="1">
        <w:r w:rsidR="000351B1" w:rsidRPr="000871B9">
          <w:rPr>
            <w:rFonts w:cs="Arial"/>
            <w:sz w:val="16"/>
            <w:szCs w:val="16"/>
          </w:rPr>
          <w:t>This</w:t>
        </w:r>
      </w:hyperlink>
      <w:r w:rsidR="000351B1" w:rsidRPr="000871B9">
        <w:rPr>
          <w:rFonts w:cs="Arial"/>
          <w:sz w:val="16"/>
          <w:szCs w:val="16"/>
        </w:rPr>
        <w:t xml:space="preserve"> resource </w:t>
      </w:r>
      <w:proofErr w:type="gramStart"/>
      <w:r w:rsidR="000351B1" w:rsidRPr="000871B9">
        <w:rPr>
          <w:rFonts w:cs="Arial"/>
          <w:sz w:val="16"/>
          <w:szCs w:val="16"/>
        </w:rPr>
        <w:t>is provided</w:t>
      </w:r>
      <w:proofErr w:type="gramEnd"/>
      <w:r w:rsidR="000351B1" w:rsidRPr="000871B9">
        <w:rPr>
          <w:rFonts w:cs="Arial"/>
          <w:sz w:val="16"/>
          <w:szCs w:val="16"/>
        </w:rPr>
        <w:t xml:space="preserve"> under licence by the RACGP. Full terms are available at </w:t>
      </w:r>
      <w:hyperlink r:id="rId15" w:history="1">
        <w:r w:rsidR="000351B1" w:rsidRPr="000871B9">
          <w:rPr>
            <w:rStyle w:val="Hyperlink"/>
            <w:rFonts w:cs="Arial"/>
            <w:sz w:val="16"/>
            <w:szCs w:val="16"/>
          </w:rPr>
          <w:t>www.racgp.org.au/usage/licence</w:t>
        </w:r>
      </w:hyperlink>
      <w:r w:rsidR="000351B1">
        <w:rPr>
          <w:rFonts w:cs="Arial"/>
          <w:sz w:val="16"/>
          <w:szCs w:val="16"/>
        </w:rPr>
        <w:t xml:space="preserve"> </w:t>
      </w:r>
    </w:p>
    <w:p w14:paraId="577D3658" w14:textId="77777777" w:rsidR="000351B1" w:rsidRDefault="000351B1" w:rsidP="000351B1">
      <w:pPr>
        <w:spacing w:after="0" w:line="240" w:lineRule="auto"/>
        <w:rPr>
          <w:rFonts w:cs="Arial"/>
          <w:sz w:val="16"/>
          <w:szCs w:val="16"/>
        </w:rPr>
      </w:pPr>
    </w:p>
    <w:p w14:paraId="799AB3B8" w14:textId="77777777" w:rsidR="000351B1" w:rsidRPr="0002280E" w:rsidRDefault="000351B1" w:rsidP="000351B1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787505">
        <w:rPr>
          <w:rFonts w:cs="Arial"/>
          <w:i/>
          <w:sz w:val="16"/>
          <w:szCs w:val="16"/>
        </w:rPr>
        <w:t>We acknowledge the Traditional Custodians of the lands and seas on which we work and live, and pay our respects to Elders, past, present and future.</w:t>
      </w:r>
    </w:p>
    <w:p w14:paraId="68AAD35B" w14:textId="40CF28A2" w:rsidR="00062BE7" w:rsidRPr="006D1284" w:rsidRDefault="00062BE7" w:rsidP="006D1284"/>
    <w:sectPr w:rsidR="00062BE7" w:rsidRPr="006D1284" w:rsidSect="001D0673">
      <w:headerReference w:type="default" r:id="rId16"/>
      <w:footerReference w:type="default" r:id="rId17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9D64F" w14:textId="77777777" w:rsidR="008C7DFE" w:rsidRDefault="0071358B">
      <w:pPr>
        <w:spacing w:after="0" w:line="240" w:lineRule="auto"/>
      </w:pPr>
      <w:r>
        <w:separator/>
      </w:r>
    </w:p>
  </w:endnote>
  <w:endnote w:type="continuationSeparator" w:id="0">
    <w:p w14:paraId="7B5B36B5" w14:textId="77777777" w:rsidR="008C7DFE" w:rsidRDefault="0071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Std-L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ntinMTStd-LightItalic">
    <w:altName w:val="MV Boli"/>
    <w:charset w:val="00"/>
    <w:family w:val="roman"/>
    <w:pitch w:val="variable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10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1D7ED7" w14:textId="03C92249" w:rsidR="001D0673" w:rsidRDefault="001D0673" w:rsidP="001D0673">
        <w:pPr>
          <w:pStyle w:val="Footer"/>
        </w:pPr>
      </w:p>
      <w:p w14:paraId="5597AD4F" w14:textId="0ECC1218" w:rsidR="00865FA8" w:rsidRDefault="00120180" w:rsidP="004764D3">
        <w:pPr>
          <w:pStyle w:val="Footer"/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B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E09A2C" w14:textId="77777777" w:rsidR="00865FA8" w:rsidRDefault="00610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E9085" w14:textId="77777777" w:rsidR="008C7DFE" w:rsidRDefault="0071358B">
      <w:pPr>
        <w:spacing w:after="0" w:line="240" w:lineRule="auto"/>
      </w:pPr>
      <w:r>
        <w:separator/>
      </w:r>
    </w:p>
  </w:footnote>
  <w:footnote w:type="continuationSeparator" w:id="0">
    <w:p w14:paraId="7F4332B3" w14:textId="77777777" w:rsidR="008C7DFE" w:rsidRDefault="0071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14C8A" w14:textId="498F7963" w:rsidR="00865FA8" w:rsidRDefault="0012018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24DF3E5C" wp14:editId="0DF3A4B4">
          <wp:simplePos x="914400" y="447675"/>
          <wp:positionH relativeFrom="page">
            <wp:align>left</wp:align>
          </wp:positionH>
          <wp:positionV relativeFrom="page">
            <wp:align>top</wp:align>
          </wp:positionV>
          <wp:extent cx="7540953" cy="10666799"/>
          <wp:effectExtent l="0" t="0" r="3175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CGP_letterhead_June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53" cy="10666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5F5B"/>
    <w:multiLevelType w:val="hybridMultilevel"/>
    <w:tmpl w:val="CE5E6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75E87"/>
    <w:multiLevelType w:val="hybridMultilevel"/>
    <w:tmpl w:val="545E2D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0F05CF"/>
    <w:multiLevelType w:val="hybridMultilevel"/>
    <w:tmpl w:val="7646E428"/>
    <w:lvl w:ilvl="0" w:tplc="8F6C9318">
      <w:numFmt w:val="bullet"/>
      <w:lvlText w:val="•"/>
      <w:lvlJc w:val="left"/>
      <w:pPr>
        <w:ind w:left="720" w:hanging="360"/>
      </w:pPr>
      <w:rPr>
        <w:rFonts w:ascii="HelveticaNeueLTStd-Lt" w:eastAsia="HelveticaNeueLTStd-Lt" w:hAnsiTheme="minorHAnsi" w:cs="HelveticaNeueLTStd-Lt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96CC1"/>
    <w:multiLevelType w:val="hybridMultilevel"/>
    <w:tmpl w:val="F10629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9A4949"/>
    <w:multiLevelType w:val="hybridMultilevel"/>
    <w:tmpl w:val="776CC552"/>
    <w:lvl w:ilvl="0" w:tplc="4FE8EC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7310E"/>
    <w:multiLevelType w:val="hybridMultilevel"/>
    <w:tmpl w:val="646283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ED79CF"/>
    <w:multiLevelType w:val="hybridMultilevel"/>
    <w:tmpl w:val="A1C46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FB"/>
    <w:rsid w:val="000351B1"/>
    <w:rsid w:val="00062BE7"/>
    <w:rsid w:val="000C47B4"/>
    <w:rsid w:val="00120180"/>
    <w:rsid w:val="001D0673"/>
    <w:rsid w:val="00267DDF"/>
    <w:rsid w:val="002C2095"/>
    <w:rsid w:val="002C4C1B"/>
    <w:rsid w:val="003736FB"/>
    <w:rsid w:val="003A7CE5"/>
    <w:rsid w:val="003E3F9B"/>
    <w:rsid w:val="004416A5"/>
    <w:rsid w:val="00465E70"/>
    <w:rsid w:val="004A430C"/>
    <w:rsid w:val="00553E97"/>
    <w:rsid w:val="005A7623"/>
    <w:rsid w:val="005A7A80"/>
    <w:rsid w:val="005B1E07"/>
    <w:rsid w:val="00610B9D"/>
    <w:rsid w:val="006154AB"/>
    <w:rsid w:val="006B7663"/>
    <w:rsid w:val="006D1284"/>
    <w:rsid w:val="0071358B"/>
    <w:rsid w:val="00734AAB"/>
    <w:rsid w:val="0073756C"/>
    <w:rsid w:val="008168BD"/>
    <w:rsid w:val="008509BF"/>
    <w:rsid w:val="008C7DFE"/>
    <w:rsid w:val="00907695"/>
    <w:rsid w:val="009D7FC6"/>
    <w:rsid w:val="00A4502D"/>
    <w:rsid w:val="00A75B78"/>
    <w:rsid w:val="00B353F3"/>
    <w:rsid w:val="00BF419D"/>
    <w:rsid w:val="00D57524"/>
    <w:rsid w:val="00DA6A43"/>
    <w:rsid w:val="00E24909"/>
    <w:rsid w:val="00E5541E"/>
    <w:rsid w:val="00E83AB2"/>
    <w:rsid w:val="00E94D6E"/>
    <w:rsid w:val="00FB79CF"/>
    <w:rsid w:val="00FE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3A1CD"/>
  <w15:chartTrackingRefBased/>
  <w15:docId w15:val="{164A6D1A-6769-4C89-B982-4112A1E5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FB"/>
    <w:pPr>
      <w:spacing w:after="200" w:line="276" w:lineRule="auto"/>
    </w:pPr>
    <w:rPr>
      <w:rFonts w:ascii="Arial" w:hAnsi="Arial"/>
      <w:color w:val="282828"/>
      <w:sz w:val="20"/>
    </w:rPr>
  </w:style>
  <w:style w:type="paragraph" w:styleId="Heading1">
    <w:name w:val="heading 1"/>
    <w:aliases w:val="h1,c"/>
    <w:basedOn w:val="Normal"/>
    <w:next w:val="Normal"/>
    <w:link w:val="Heading1Char"/>
    <w:uiPriority w:val="9"/>
    <w:qFormat/>
    <w:rsid w:val="003736FB"/>
    <w:pPr>
      <w:keepNext/>
      <w:keepLines/>
      <w:spacing w:before="480" w:after="0"/>
      <w:outlineLvl w:val="0"/>
    </w:pPr>
    <w:rPr>
      <w:rFonts w:ascii="Georgia" w:eastAsiaTheme="majorEastAsia" w:hAnsi="Georgia" w:cstheme="majorBidi"/>
      <w:bCs/>
      <w:i/>
      <w:sz w:val="36"/>
      <w:szCs w:val="28"/>
    </w:rPr>
  </w:style>
  <w:style w:type="paragraph" w:styleId="Heading2">
    <w:name w:val="heading 2"/>
    <w:aliases w:val="h2,Contents Heading,Contents,- Main,3...,2m,Level 2 Head,h2 main heading,B Sub/Bold,B Sub/Bold1,B Sub/Bold2,B Sub/Bold11,h2 main heading1,h2 main heading2,B Sub/Bold3,B Sub/Bold12,h2 main heading3,B Sub/Bold4,B Sub/Bold13,H2,Para2,SubPara,body"/>
    <w:basedOn w:val="Normal"/>
    <w:next w:val="Normal"/>
    <w:link w:val="Heading2Char"/>
    <w:uiPriority w:val="9"/>
    <w:semiHidden/>
    <w:unhideWhenUsed/>
    <w:qFormat/>
    <w:rsid w:val="006D1284"/>
    <w:pPr>
      <w:keepNext/>
      <w:tabs>
        <w:tab w:val="num" w:pos="850"/>
      </w:tabs>
      <w:autoSpaceDE w:val="0"/>
      <w:autoSpaceDN w:val="0"/>
      <w:spacing w:before="240" w:after="60" w:line="240" w:lineRule="auto"/>
      <w:ind w:left="850" w:hanging="850"/>
      <w:outlineLvl w:val="1"/>
    </w:pPr>
    <w:rPr>
      <w:rFonts w:eastAsia="Times New Roman" w:cs="Arial"/>
      <w:iCs/>
      <w:color w:val="auto"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c Char"/>
    <w:basedOn w:val="DefaultParagraphFont"/>
    <w:link w:val="Heading1"/>
    <w:uiPriority w:val="9"/>
    <w:rsid w:val="003736FB"/>
    <w:rPr>
      <w:rFonts w:ascii="Georgia" w:eastAsiaTheme="majorEastAsia" w:hAnsi="Georgia" w:cstheme="majorBidi"/>
      <w:bCs/>
      <w:i/>
      <w:color w:val="282828"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373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6FB"/>
    <w:rPr>
      <w:rFonts w:ascii="Arial" w:hAnsi="Arial"/>
      <w:color w:val="282828"/>
      <w:sz w:val="20"/>
    </w:rPr>
  </w:style>
  <w:style w:type="paragraph" w:styleId="Footer">
    <w:name w:val="footer"/>
    <w:basedOn w:val="Normal"/>
    <w:link w:val="FooterChar"/>
    <w:uiPriority w:val="99"/>
    <w:unhideWhenUsed/>
    <w:rsid w:val="00373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6FB"/>
    <w:rPr>
      <w:rFonts w:ascii="Arial" w:hAnsi="Arial"/>
      <w:color w:val="282828"/>
      <w:sz w:val="20"/>
    </w:rPr>
  </w:style>
  <w:style w:type="paragraph" w:styleId="ListParagraph">
    <w:name w:val="List Paragraph"/>
    <w:basedOn w:val="Normal"/>
    <w:uiPriority w:val="34"/>
    <w:qFormat/>
    <w:rsid w:val="003736FB"/>
    <w:pPr>
      <w:ind w:left="720"/>
      <w:contextualSpacing/>
    </w:pPr>
  </w:style>
  <w:style w:type="character" w:styleId="Hyperlink">
    <w:name w:val="Hyperlink"/>
    <w:uiPriority w:val="99"/>
    <w:rsid w:val="003736F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3736FB"/>
    <w:pPr>
      <w:spacing w:line="240" w:lineRule="auto"/>
    </w:pPr>
    <w:rPr>
      <w:rFonts w:asciiTheme="minorHAnsi" w:hAnsiTheme="minorHAnsi"/>
      <w:color w:val="auto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36FB"/>
    <w:rPr>
      <w:sz w:val="20"/>
      <w:szCs w:val="20"/>
      <w:lang w:val="en-GB"/>
    </w:rPr>
  </w:style>
  <w:style w:type="paragraph" w:customStyle="1" w:styleId="MB-Body">
    <w:name w:val="MB - Body"/>
    <w:basedOn w:val="Normal"/>
    <w:qFormat/>
    <w:rsid w:val="003736FB"/>
    <w:pPr>
      <w:widowControl w:val="0"/>
      <w:spacing w:after="120" w:line="252" w:lineRule="auto"/>
      <w:ind w:right="57"/>
    </w:pPr>
    <w:rPr>
      <w:rFonts w:eastAsia="Arial" w:cs="Arial"/>
      <w:color w:val="231F20"/>
      <w:sz w:val="19"/>
      <w:szCs w:val="19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36F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FB"/>
    <w:rPr>
      <w:rFonts w:ascii="Segoe UI" w:hAnsi="Segoe UI" w:cs="Segoe UI"/>
      <w:color w:val="282828"/>
      <w:sz w:val="18"/>
      <w:szCs w:val="18"/>
    </w:rPr>
  </w:style>
  <w:style w:type="character" w:customStyle="1" w:styleId="Heading2Char">
    <w:name w:val="Heading 2 Char"/>
    <w:aliases w:val="h2 Char,Contents Heading Char,Contents Char,- Main Char,3... Char,2m Char,Level 2 Head Char,h2 main heading Char,B Sub/Bold Char,B Sub/Bold1 Char,B Sub/Bold2 Char,B Sub/Bold11 Char,h2 main heading1 Char,h2 main heading2 Char,H2 Char"/>
    <w:basedOn w:val="DefaultParagraphFont"/>
    <w:link w:val="Heading2"/>
    <w:uiPriority w:val="9"/>
    <w:semiHidden/>
    <w:rsid w:val="006D1284"/>
    <w:rPr>
      <w:rFonts w:ascii="Arial" w:eastAsia="Times New Roman" w:hAnsi="Arial" w:cs="Arial"/>
      <w:iCs/>
      <w:sz w:val="24"/>
      <w:szCs w:val="28"/>
    </w:rPr>
  </w:style>
  <w:style w:type="paragraph" w:styleId="NoSpacing">
    <w:name w:val="No Spacing"/>
    <w:uiPriority w:val="1"/>
    <w:qFormat/>
    <w:rsid w:val="006D1284"/>
    <w:pPr>
      <w:tabs>
        <w:tab w:val="num" w:pos="2170"/>
      </w:tabs>
      <w:spacing w:after="0" w:line="240" w:lineRule="auto"/>
      <w:ind w:left="2170" w:hanging="850"/>
    </w:pPr>
  </w:style>
  <w:style w:type="paragraph" w:customStyle="1" w:styleId="Default">
    <w:name w:val="Default"/>
    <w:rsid w:val="006D1284"/>
    <w:pPr>
      <w:tabs>
        <w:tab w:val="num" w:pos="3829"/>
      </w:tabs>
      <w:autoSpaceDE w:val="0"/>
      <w:autoSpaceDN w:val="0"/>
      <w:adjustRightInd w:val="0"/>
      <w:spacing w:after="0" w:line="240" w:lineRule="auto"/>
      <w:ind w:left="3829" w:hanging="851"/>
    </w:pPr>
    <w:rPr>
      <w:rFonts w:ascii="Calibri" w:hAnsi="Calibri" w:cs="Calibri"/>
      <w:color w:val="000000"/>
      <w:sz w:val="24"/>
      <w:szCs w:val="24"/>
    </w:rPr>
  </w:style>
  <w:style w:type="paragraph" w:customStyle="1" w:styleId="MBHeader01">
    <w:name w:val="MB Header 01"/>
    <w:basedOn w:val="Normal"/>
    <w:qFormat/>
    <w:rsid w:val="006D1284"/>
    <w:pPr>
      <w:tabs>
        <w:tab w:val="num" w:pos="936"/>
      </w:tabs>
      <w:spacing w:before="360" w:after="60"/>
      <w:ind w:left="936" w:right="-23" w:hanging="510"/>
    </w:pPr>
    <w:rPr>
      <w:rFonts w:eastAsia="PlantinMTStd-LightItalic" w:cs="PlantinMTStd-LightItalic"/>
      <w:color w:val="4EAE87"/>
      <w:sz w:val="40"/>
      <w:szCs w:val="20"/>
    </w:rPr>
  </w:style>
  <w:style w:type="character" w:customStyle="1" w:styleId="HealthnumLevel5Char">
    <w:name w:val="Health (num) Level 5 Char"/>
    <w:link w:val="HealthnumLevel5"/>
    <w:locked/>
    <w:rsid w:val="006D1284"/>
    <w:rPr>
      <w:rFonts w:ascii="Times New Roman" w:eastAsia="Times New Roman" w:hAnsi="Times New Roman" w:cs="Times New Roman"/>
      <w:sz w:val="24"/>
      <w:szCs w:val="24"/>
    </w:rPr>
  </w:style>
  <w:style w:type="paragraph" w:customStyle="1" w:styleId="HealthnumLevel5">
    <w:name w:val="Health (num) Level 5"/>
    <w:basedOn w:val="Normal"/>
    <w:link w:val="HealthnumLevel5Char"/>
    <w:rsid w:val="006D1284"/>
    <w:pPr>
      <w:tabs>
        <w:tab w:val="num" w:pos="850"/>
        <w:tab w:val="num" w:pos="936"/>
      </w:tabs>
      <w:autoSpaceDE w:val="0"/>
      <w:autoSpaceDN w:val="0"/>
      <w:spacing w:before="180" w:after="0" w:line="260" w:lineRule="exact"/>
      <w:ind w:left="850" w:hanging="51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A43"/>
    <w:rPr>
      <w:rFonts w:ascii="Arial" w:hAnsi="Arial"/>
      <w:b/>
      <w:bCs/>
      <w:color w:val="282828"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A43"/>
    <w:rPr>
      <w:rFonts w:ascii="Arial" w:hAnsi="Arial"/>
      <w:b/>
      <w:bCs/>
      <w:color w:val="282828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D5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D5752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gp.org.au/clinical-resources/clinical-guidelines/key-racgp-guidelines/view-all-racgp-guidelines/prescribing-drugs-of-dependence/prescribing-drugs-of-dependence-part-a" TargetMode="External"/><Relationship Id="rId13" Type="http://schemas.openxmlformats.org/officeDocument/2006/relationships/hyperlink" Target="mailto: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acgp.org.au/clinical-resources/clinical-guidelines/key-racgp-guidelines/view-all-racgp-guidelines/prescribing-drugs-of-dependence/prescribing-drugs-of-dependence-part-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acgp.org.au/clinical-resources/clinical-guidelines/key-racgp-guidelines/view-all-racgp-guidelines/prescribing-drugs-of-dependence/prescribing-drugs-of-dependence-part-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acgp.org.au/usage/licence" TargetMode="External"/><Relationship Id="rId10" Type="http://schemas.openxmlformats.org/officeDocument/2006/relationships/hyperlink" Target="https://www.racgp.org.au/clinical-resources/clinical-guidelines/key-racgp-guidelines/view-all-racgp-guidelines/prescribing-drugs-of-dependence/prescribing-drugs-of-dependence-part-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acgp.org.au/clinical-resources/clinical-guidelines/key-racgp-guidelines/view-all-racgp-guidelines/prescribing-drugs-of-dependence/prescribing-drugs-of-dependence-part-a" TargetMode="External"/><Relationship Id="rId14" Type="http://schemas.openxmlformats.org/officeDocument/2006/relationships/hyperlink" Target="mailto:Th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62943-8525-4CA5-AAD9-14745846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Hereward</dc:creator>
  <cp:keywords/>
  <dc:description/>
  <cp:lastModifiedBy>Mahala Boughton</cp:lastModifiedBy>
  <cp:revision>5</cp:revision>
  <dcterms:created xsi:type="dcterms:W3CDTF">2019-07-02T02:27:00Z</dcterms:created>
  <dcterms:modified xsi:type="dcterms:W3CDTF">2019-07-02T04:02:00Z</dcterms:modified>
</cp:coreProperties>
</file>