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824" w14:textId="131A0985" w:rsidR="002C4C1B" w:rsidRDefault="00D57524" w:rsidP="002C4C1B">
      <w:pPr>
        <w:rPr>
          <w:rFonts w:ascii="Georgia" w:hAnsi="Georgia" w:cs="Adobe Devanagari"/>
          <w:color w:val="000000" w:themeColor="text1"/>
          <w:sz w:val="32"/>
          <w:szCs w:val="32"/>
        </w:rPr>
      </w:pPr>
      <w:r>
        <w:rPr>
          <w:rFonts w:ascii="Georgia" w:hAnsi="Georgia" w:cs="Adobe Devanagari"/>
          <w:i/>
          <w:color w:val="000000" w:themeColor="text1"/>
          <w:sz w:val="32"/>
          <w:szCs w:val="32"/>
        </w:rPr>
        <w:t>One-year review of opioid prescribing</w:t>
      </w:r>
      <w:r w:rsidR="00734AAB">
        <w:rPr>
          <w:rFonts w:ascii="Georgia" w:hAnsi="Georgia" w:cs="Adobe Devanagari"/>
          <w:i/>
          <w:color w:val="000000" w:themeColor="text1"/>
          <w:sz w:val="32"/>
          <w:szCs w:val="32"/>
        </w:rPr>
        <w:t xml:space="preserve"> </w:t>
      </w:r>
      <w:r w:rsidR="00907695">
        <w:rPr>
          <w:rFonts w:ascii="Georgia" w:hAnsi="Georgia" w:cs="Adobe Devanagari"/>
          <w:i/>
          <w:color w:val="000000" w:themeColor="text1"/>
          <w:sz w:val="32"/>
          <w:szCs w:val="32"/>
        </w:rPr>
        <w:t>template</w:t>
      </w:r>
    </w:p>
    <w:p w14:paraId="51A07FEE" w14:textId="77777777" w:rsidR="002C2095" w:rsidRDefault="002C2095" w:rsidP="002C4C1B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Purpose:</w:t>
      </w:r>
    </w:p>
    <w:p w14:paraId="0904E7B4" w14:textId="1E982AAB" w:rsidR="00D57524" w:rsidRDefault="00D57524" w:rsidP="00D57524">
      <w:pPr>
        <w:rPr>
          <w:rFonts w:cs="Arial"/>
          <w:color w:val="000000" w:themeColor="text1"/>
          <w:szCs w:val="20"/>
        </w:rPr>
      </w:pPr>
      <w:r w:rsidRPr="00D57524">
        <w:rPr>
          <w:rFonts w:cs="Arial"/>
          <w:color w:val="000000" w:themeColor="text1"/>
          <w:szCs w:val="20"/>
        </w:rPr>
        <w:t>If opioid therapy is required for longer than 12 months, the Pharmaceutical Benefits Scheme (PBS)</w:t>
      </w:r>
      <w:r>
        <w:rPr>
          <w:rFonts w:cs="Arial"/>
          <w:color w:val="000000" w:themeColor="text1"/>
          <w:szCs w:val="20"/>
        </w:rPr>
        <w:t xml:space="preserve"> </w:t>
      </w:r>
      <w:r w:rsidRPr="00D57524">
        <w:rPr>
          <w:rFonts w:cs="Arial"/>
          <w:color w:val="000000" w:themeColor="text1"/>
          <w:szCs w:val="20"/>
        </w:rPr>
        <w:t>requires clinical review of the case and support by a second medical practitioner. The standards required</w:t>
      </w:r>
      <w:r>
        <w:rPr>
          <w:rFonts w:cs="Arial"/>
          <w:color w:val="000000" w:themeColor="text1"/>
          <w:szCs w:val="20"/>
        </w:rPr>
        <w:t xml:space="preserve"> </w:t>
      </w:r>
      <w:r w:rsidRPr="00D57524">
        <w:rPr>
          <w:rFonts w:cs="Arial"/>
          <w:color w:val="000000" w:themeColor="text1"/>
          <w:szCs w:val="20"/>
        </w:rPr>
        <w:t xml:space="preserve">for evaluation for the PBS review </w:t>
      </w:r>
      <w:proofErr w:type="gramStart"/>
      <w:r w:rsidRPr="00D57524">
        <w:rPr>
          <w:rFonts w:cs="Arial"/>
          <w:color w:val="000000" w:themeColor="text1"/>
          <w:szCs w:val="20"/>
        </w:rPr>
        <w:t>have not been documented</w:t>
      </w:r>
      <w:proofErr w:type="gramEnd"/>
      <w:r w:rsidRPr="00D57524">
        <w:rPr>
          <w:rFonts w:cs="Arial"/>
          <w:color w:val="000000" w:themeColor="text1"/>
          <w:szCs w:val="20"/>
        </w:rPr>
        <w:t>.</w:t>
      </w:r>
    </w:p>
    <w:p w14:paraId="24CEB24C" w14:textId="1C39AD13" w:rsidR="00907695" w:rsidRPr="00483679" w:rsidRDefault="00907695" w:rsidP="00D57524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For more information, please refer to the RACGPs </w:t>
      </w:r>
      <w:hyperlink r:id="rId7" w:history="1">
        <w:r w:rsidRPr="00BF6FC6">
          <w:rPr>
            <w:rStyle w:val="Hyperlink"/>
            <w:rFonts w:cs="Arial"/>
            <w:szCs w:val="20"/>
          </w:rPr>
          <w:t>Prescribing drugs of dependence in general practice – Part A – Clinical Governance Framework</w:t>
        </w:r>
      </w:hyperlink>
      <w:r>
        <w:rPr>
          <w:rFonts w:cs="Arial"/>
          <w:color w:val="000000" w:themeColor="text1"/>
          <w:szCs w:val="20"/>
        </w:rPr>
        <w:t xml:space="preserve">. </w:t>
      </w:r>
    </w:p>
    <w:p w14:paraId="6D6C360D" w14:textId="473CAD13" w:rsidR="006D1284" w:rsidRPr="005B1E07" w:rsidRDefault="006D1284" w:rsidP="005B1E07">
      <w:pPr>
        <w:spacing w:after="0"/>
        <w:contextualSpacing/>
        <w:rPr>
          <w:color w:val="auto"/>
          <w:szCs w:val="20"/>
          <w:lang w:val="en-GB"/>
        </w:rPr>
      </w:pPr>
      <w:r>
        <w:rPr>
          <w:color w:val="auto"/>
          <w:szCs w:val="20"/>
          <w:lang w:val="en-GB"/>
        </w:rPr>
        <w:br w:type="page"/>
      </w:r>
    </w:p>
    <w:p w14:paraId="6B626F6E" w14:textId="400E5486" w:rsidR="006D1284" w:rsidRDefault="006D1284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0070C0"/>
          <w:sz w:val="36"/>
          <w:szCs w:val="24"/>
          <w:lang w:val="en-GB"/>
        </w:rPr>
      </w:pPr>
      <w:r>
        <w:rPr>
          <w:rFonts w:cs="Arial"/>
          <w:color w:val="FF0000"/>
          <w:sz w:val="36"/>
          <w:szCs w:val="24"/>
          <w:lang w:val="en-GB"/>
        </w:rPr>
        <w:lastRenderedPageBreak/>
        <w:t>[</w:t>
      </w:r>
      <w:r w:rsidR="00E94D6E">
        <w:rPr>
          <w:rFonts w:cs="Arial"/>
          <w:color w:val="FF0000"/>
          <w:sz w:val="36"/>
          <w:szCs w:val="24"/>
          <w:lang w:val="en-GB"/>
        </w:rPr>
        <w:t>Insert</w:t>
      </w:r>
      <w:r>
        <w:rPr>
          <w:rFonts w:cs="Arial"/>
          <w:color w:val="FF0000"/>
          <w:sz w:val="36"/>
          <w:szCs w:val="24"/>
          <w:lang w:val="en-GB"/>
        </w:rPr>
        <w:t xml:space="preserve"> practice name] </w:t>
      </w:r>
      <w:r w:rsidR="00D57524">
        <w:rPr>
          <w:rFonts w:cs="Arial"/>
          <w:color w:val="0070C0"/>
          <w:sz w:val="36"/>
          <w:szCs w:val="24"/>
          <w:lang w:val="en-GB"/>
        </w:rPr>
        <w:t>one-year review of opioid prescribing protocol</w:t>
      </w:r>
    </w:p>
    <w:p w14:paraId="3A59BF94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Current as of: </w:t>
      </w:r>
      <w:r>
        <w:rPr>
          <w:i/>
          <w:color w:val="CF1D21"/>
          <w:sz w:val="22"/>
          <w:szCs w:val="22"/>
          <w:lang w:val="en-GB"/>
        </w:rPr>
        <w:t>[insert date of last revision]</w:t>
      </w:r>
    </w:p>
    <w:p w14:paraId="20176AE8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color w:val="auto"/>
          <w:sz w:val="22"/>
          <w:szCs w:val="22"/>
          <w:lang w:val="en-GB"/>
        </w:rPr>
        <w:t>Version no:</w:t>
      </w:r>
      <w:r>
        <w:rPr>
          <w:i/>
          <w:color w:val="CF1D21"/>
          <w:sz w:val="22"/>
          <w:szCs w:val="22"/>
          <w:lang w:val="en-GB"/>
        </w:rPr>
        <w:t xml:space="preserve"> [insert version number]</w:t>
      </w:r>
    </w:p>
    <w:p w14:paraId="4550F6C3" w14:textId="6554FBC3" w:rsidR="002C4C1B" w:rsidRDefault="002C4C1B" w:rsidP="006D1284">
      <w:pPr>
        <w:pStyle w:val="MB-Body"/>
        <w:tabs>
          <w:tab w:val="left" w:pos="720"/>
        </w:tabs>
        <w:spacing w:after="0" w:line="276" w:lineRule="auto"/>
        <w:rPr>
          <w:i/>
          <w:sz w:val="22"/>
          <w:szCs w:val="22"/>
          <w:lang w:val="en-GB"/>
        </w:rPr>
      </w:pPr>
      <w:r w:rsidRPr="002C4C1B">
        <w:rPr>
          <w:i/>
          <w:color w:val="auto"/>
          <w:sz w:val="22"/>
          <w:szCs w:val="22"/>
          <w:lang w:val="en-GB"/>
        </w:rPr>
        <w:t xml:space="preserve">Review date: </w:t>
      </w:r>
      <w:r>
        <w:rPr>
          <w:i/>
          <w:color w:val="CF1D21"/>
          <w:sz w:val="22"/>
          <w:szCs w:val="22"/>
          <w:lang w:val="en-GB"/>
        </w:rPr>
        <w:t>[insert date]</w:t>
      </w:r>
    </w:p>
    <w:p w14:paraId="3D6D0D77" w14:textId="77777777" w:rsidR="006D1284" w:rsidRDefault="006D1284" w:rsidP="006D1284">
      <w:pPr>
        <w:spacing w:after="0"/>
        <w:contextualSpacing/>
        <w:rPr>
          <w:rFonts w:cs="Arial"/>
          <w:b/>
          <w:lang w:val="en-GB"/>
        </w:rPr>
      </w:pPr>
    </w:p>
    <w:p w14:paraId="456D88E4" w14:textId="77777777" w:rsidR="00D57524" w:rsidRPr="00D57524" w:rsidRDefault="00D57524" w:rsidP="00D57524">
      <w:pPr>
        <w:spacing w:after="0"/>
        <w:rPr>
          <w:rFonts w:cs="Arial"/>
          <w:bCs/>
        </w:rPr>
      </w:pPr>
      <w:r w:rsidRPr="00D57524">
        <w:rPr>
          <w:rFonts w:cs="Arial"/>
          <w:bCs/>
        </w:rPr>
        <w:t>If opioid therapy is required for longer than 12 months, the Pharmaceutical Benefits Scheme (PBS)</w:t>
      </w:r>
    </w:p>
    <w:p w14:paraId="4C1BED4A" w14:textId="0199B3ED" w:rsidR="00D57524" w:rsidRDefault="00D57524" w:rsidP="00D57524">
      <w:pPr>
        <w:spacing w:after="0"/>
        <w:rPr>
          <w:rFonts w:cs="Arial"/>
          <w:bCs/>
        </w:rPr>
      </w:pPr>
      <w:proofErr w:type="gramStart"/>
      <w:r w:rsidRPr="00D57524">
        <w:rPr>
          <w:rFonts w:cs="Arial"/>
          <w:bCs/>
        </w:rPr>
        <w:t>requires</w:t>
      </w:r>
      <w:proofErr w:type="gramEnd"/>
      <w:r w:rsidRPr="00D57524">
        <w:rPr>
          <w:rFonts w:cs="Arial"/>
          <w:bCs/>
        </w:rPr>
        <w:t xml:space="preserve"> clinical review of the case and support by a second medical practitioner. The standards required</w:t>
      </w:r>
      <w:r>
        <w:rPr>
          <w:rFonts w:cs="Arial"/>
          <w:bCs/>
        </w:rPr>
        <w:t xml:space="preserve"> </w:t>
      </w:r>
      <w:r w:rsidRPr="00D57524">
        <w:rPr>
          <w:rFonts w:cs="Arial"/>
          <w:bCs/>
        </w:rPr>
        <w:t xml:space="preserve">for evaluation for the PBS review </w:t>
      </w:r>
      <w:proofErr w:type="gramStart"/>
      <w:r w:rsidRPr="00D57524">
        <w:rPr>
          <w:rFonts w:cs="Arial"/>
          <w:bCs/>
        </w:rPr>
        <w:t>have not been documented</w:t>
      </w:r>
      <w:proofErr w:type="gramEnd"/>
      <w:r w:rsidRPr="00D57524">
        <w:rPr>
          <w:rFonts w:cs="Arial"/>
          <w:bCs/>
        </w:rPr>
        <w:t xml:space="preserve">. This policy details a protocol that </w:t>
      </w:r>
      <w:r w:rsidRPr="00D57524">
        <w:rPr>
          <w:rFonts w:cs="Arial"/>
          <w:bCs/>
          <w:color w:val="FF0000"/>
        </w:rPr>
        <w:t>[</w:t>
      </w:r>
      <w:r w:rsidRPr="00D57524">
        <w:rPr>
          <w:rFonts w:cs="Arial"/>
          <w:bCs/>
          <w:i/>
          <w:iCs/>
          <w:color w:val="FF0000"/>
        </w:rPr>
        <w:t>Insert</w:t>
      </w:r>
      <w:r w:rsidRPr="00D57524">
        <w:rPr>
          <w:rFonts w:cs="Arial"/>
          <w:bCs/>
          <w:color w:val="FF0000"/>
        </w:rPr>
        <w:t xml:space="preserve"> </w:t>
      </w:r>
      <w:r w:rsidRPr="00D57524">
        <w:rPr>
          <w:rFonts w:cs="Arial"/>
          <w:bCs/>
          <w:i/>
          <w:iCs/>
          <w:color w:val="FF0000"/>
        </w:rPr>
        <w:t>practice name</w:t>
      </w:r>
      <w:r w:rsidRPr="00D57524">
        <w:rPr>
          <w:rFonts w:cs="Arial"/>
          <w:bCs/>
          <w:color w:val="FF0000"/>
        </w:rPr>
        <w:t xml:space="preserve">] </w:t>
      </w:r>
      <w:r w:rsidRPr="00D57524">
        <w:rPr>
          <w:rFonts w:cs="Arial"/>
          <w:bCs/>
        </w:rPr>
        <w:t>feels is appropriate to make an informed evaluation of long-term opioid therapy.</w:t>
      </w:r>
    </w:p>
    <w:p w14:paraId="4AE87A48" w14:textId="77777777" w:rsidR="00D57524" w:rsidRPr="00D57524" w:rsidRDefault="00D57524" w:rsidP="00D57524">
      <w:pPr>
        <w:spacing w:after="0"/>
        <w:rPr>
          <w:rFonts w:cs="Arial"/>
          <w:bCs/>
        </w:rPr>
      </w:pPr>
    </w:p>
    <w:p w14:paraId="62225D1F" w14:textId="657FE6E4" w:rsidR="00B353F3" w:rsidRDefault="00D57524" w:rsidP="00D57524">
      <w:pPr>
        <w:spacing w:after="0"/>
        <w:rPr>
          <w:rFonts w:cs="Arial"/>
          <w:bCs/>
        </w:rPr>
      </w:pPr>
      <w:r w:rsidRPr="00D57524">
        <w:rPr>
          <w:rFonts w:cs="Arial"/>
          <w:bCs/>
          <w:color w:val="FF0000"/>
        </w:rPr>
        <w:t>[</w:t>
      </w:r>
      <w:r w:rsidRPr="00D57524">
        <w:rPr>
          <w:rFonts w:cs="Arial"/>
          <w:bCs/>
          <w:i/>
          <w:iCs/>
          <w:color w:val="FF0000"/>
        </w:rPr>
        <w:t>Insert practice name</w:t>
      </w:r>
      <w:r w:rsidRPr="00D57524">
        <w:rPr>
          <w:rFonts w:cs="Arial"/>
          <w:bCs/>
          <w:color w:val="FF0000"/>
        </w:rPr>
        <w:t xml:space="preserve">] </w:t>
      </w:r>
      <w:r w:rsidRPr="00D57524">
        <w:rPr>
          <w:rFonts w:cs="Arial"/>
          <w:bCs/>
        </w:rPr>
        <w:t xml:space="preserve">believe this protocol </w:t>
      </w:r>
      <w:proofErr w:type="gramStart"/>
      <w:r w:rsidRPr="00D57524">
        <w:rPr>
          <w:rFonts w:cs="Arial"/>
          <w:bCs/>
        </w:rPr>
        <w:t>should be considered</w:t>
      </w:r>
      <w:proofErr w:type="gramEnd"/>
      <w:r w:rsidRPr="00D57524">
        <w:rPr>
          <w:rFonts w:cs="Arial"/>
          <w:bCs/>
        </w:rPr>
        <w:t xml:space="preserve"> for peer clinical review on a regular basis</w:t>
      </w:r>
      <w:r>
        <w:rPr>
          <w:rFonts w:cs="Arial"/>
          <w:bCs/>
        </w:rPr>
        <w:t xml:space="preserve"> </w:t>
      </w:r>
      <w:r w:rsidRPr="00D57524">
        <w:rPr>
          <w:rFonts w:cs="Arial"/>
          <w:bCs/>
        </w:rPr>
        <w:t>(</w:t>
      </w:r>
      <w:proofErr w:type="spellStart"/>
      <w:r w:rsidRPr="00D57524">
        <w:rPr>
          <w:rFonts w:cs="Arial"/>
          <w:bCs/>
        </w:rPr>
        <w:t>eg</w:t>
      </w:r>
      <w:proofErr w:type="spellEnd"/>
      <w:r w:rsidRPr="00D57524">
        <w:rPr>
          <w:rFonts w:cs="Arial"/>
          <w:bCs/>
        </w:rPr>
        <w:t xml:space="preserve"> every 2 years).</w:t>
      </w:r>
    </w:p>
    <w:p w14:paraId="6E9ACFA7" w14:textId="77777777" w:rsidR="00553E97" w:rsidRPr="00D57524" w:rsidRDefault="00553E97" w:rsidP="00D57524">
      <w:pPr>
        <w:spacing w:after="0"/>
        <w:rPr>
          <w:rFonts w:cs="Arial"/>
          <w:bCs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7646"/>
        <w:gridCol w:w="715"/>
        <w:gridCol w:w="655"/>
      </w:tblGrid>
      <w:tr w:rsidR="00D57524" w14:paraId="66B7A2B9" w14:textId="77777777" w:rsidTr="00D57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11B086BB" w14:textId="60C7CDEA" w:rsidR="00D57524" w:rsidRPr="00D57524" w:rsidRDefault="00D57524" w:rsidP="006D1284">
            <w:pPr>
              <w:spacing w:after="0"/>
              <w:contextualSpacing/>
              <w:rPr>
                <w:rFonts w:eastAsia="Times New Roman" w:cs="Arial"/>
                <w:color w:val="FFFFFF" w:themeColor="background1"/>
                <w:sz w:val="28"/>
                <w:szCs w:val="28"/>
                <w:lang w:val="en-GB" w:eastAsia="en-AU"/>
              </w:rPr>
            </w:pPr>
            <w:r w:rsidRPr="00D57524">
              <w:rPr>
                <w:rFonts w:eastAsia="Times New Roman" w:cs="Arial"/>
                <w:color w:val="FFFFFF" w:themeColor="background1"/>
                <w:sz w:val="28"/>
                <w:szCs w:val="28"/>
                <w:lang w:val="en-GB" w:eastAsia="en-AU"/>
              </w:rPr>
              <w:t>Evaluation criteria</w:t>
            </w:r>
          </w:p>
        </w:tc>
        <w:tc>
          <w:tcPr>
            <w:tcW w:w="715" w:type="dxa"/>
          </w:tcPr>
          <w:p w14:paraId="3C2D6A8F" w14:textId="6FD21A44" w:rsidR="00D57524" w:rsidRPr="00D57524" w:rsidRDefault="00D57524" w:rsidP="006D1284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8"/>
                <w:szCs w:val="28"/>
                <w:lang w:val="en-GB" w:eastAsia="en-AU"/>
              </w:rPr>
            </w:pPr>
            <w:r w:rsidRPr="00D57524">
              <w:rPr>
                <w:rFonts w:eastAsia="Times New Roman" w:cs="Arial"/>
                <w:color w:val="FFFFFF" w:themeColor="background1"/>
                <w:sz w:val="28"/>
                <w:szCs w:val="28"/>
                <w:lang w:val="en-GB" w:eastAsia="en-AU"/>
              </w:rPr>
              <w:t>Yes</w:t>
            </w:r>
          </w:p>
        </w:tc>
        <w:tc>
          <w:tcPr>
            <w:tcW w:w="655" w:type="dxa"/>
          </w:tcPr>
          <w:p w14:paraId="355DB363" w14:textId="07B1090C" w:rsidR="00D57524" w:rsidRPr="00D57524" w:rsidRDefault="00D57524" w:rsidP="006D1284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8"/>
                <w:szCs w:val="28"/>
                <w:lang w:val="en-GB" w:eastAsia="en-AU"/>
              </w:rPr>
            </w:pPr>
            <w:r w:rsidRPr="00D57524">
              <w:rPr>
                <w:rFonts w:eastAsia="Times New Roman" w:cs="Arial"/>
                <w:color w:val="FFFFFF" w:themeColor="background1"/>
                <w:sz w:val="28"/>
                <w:szCs w:val="28"/>
                <w:lang w:val="en-GB" w:eastAsia="en-AU"/>
              </w:rPr>
              <w:t>No</w:t>
            </w:r>
          </w:p>
        </w:tc>
      </w:tr>
      <w:tr w:rsidR="00D57524" w14:paraId="073BF7FE" w14:textId="77777777" w:rsidTr="00D5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BDD6EE" w:themeFill="accent1" w:themeFillTint="66"/>
          </w:tcPr>
          <w:p w14:paraId="3E7AC748" w14:textId="642F82F6" w:rsidR="00D57524" w:rsidRPr="00D57524" w:rsidRDefault="00D57524" w:rsidP="006D1284">
            <w:pPr>
              <w:spacing w:after="0"/>
              <w:contextualSpacing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  <w:r w:rsidRPr="00D57524">
              <w:rPr>
                <w:rFonts w:eastAsia="Times New Roman" w:cs="Arial"/>
                <w:color w:val="auto"/>
                <w:szCs w:val="20"/>
                <w:lang w:val="en-GB" w:eastAsia="en-AU"/>
              </w:rPr>
              <w:t>1. Clinical diagnosis</w:t>
            </w:r>
          </w:p>
        </w:tc>
      </w:tr>
      <w:tr w:rsidR="00D57524" w14:paraId="082FFA2A" w14:textId="77777777" w:rsidTr="00D57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22A56ECB" w14:textId="20828CB7" w:rsidR="00D57524" w:rsidRPr="00D57524" w:rsidRDefault="00D57524" w:rsidP="00553E9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a) Is there a comprehensive documentation of the patient’s </w:t>
            </w: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pain condition, general medical </w:t>
            </w: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condition, psychosocial history, psychiatric status and substance use history?</w:t>
            </w:r>
          </w:p>
        </w:tc>
        <w:tc>
          <w:tcPr>
            <w:tcW w:w="715" w:type="dxa"/>
          </w:tcPr>
          <w:p w14:paraId="3F9818F8" w14:textId="77777777" w:rsidR="00D57524" w:rsidRP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  <w:tc>
          <w:tcPr>
            <w:tcW w:w="655" w:type="dxa"/>
          </w:tcPr>
          <w:p w14:paraId="4902B6EA" w14:textId="77777777" w:rsidR="00D57524" w:rsidRP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</w:tr>
      <w:tr w:rsidR="00D57524" w14:paraId="6F95F288" w14:textId="77777777" w:rsidTr="00D5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339CD7DA" w14:textId="6634387A" w:rsidR="00D57524" w:rsidRPr="00D57524" w:rsidRDefault="00D57524" w:rsidP="00553E97">
            <w:pPr>
              <w:spacing w:after="0" w:line="360" w:lineRule="auto"/>
              <w:contextualSpacing/>
              <w:rPr>
                <w:rFonts w:eastAsia="Times New Roman" w:cs="Arial"/>
                <w:b w:val="0"/>
                <w:color w:val="0070C0"/>
                <w:szCs w:val="20"/>
                <w:lang w:val="en-GB" w:eastAsia="en-AU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b) Is the indication/diagnosis for prescribing opioids clearly </w:t>
            </w:r>
            <w:proofErr w:type="gramStart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supported</w:t>
            </w:r>
            <w:proofErr w:type="gramEnd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 and documented?</w:t>
            </w:r>
          </w:p>
        </w:tc>
        <w:tc>
          <w:tcPr>
            <w:tcW w:w="715" w:type="dxa"/>
          </w:tcPr>
          <w:p w14:paraId="2311A1AF" w14:textId="77777777" w:rsidR="00D57524" w:rsidRPr="00D57524" w:rsidRDefault="00D57524" w:rsidP="006D1284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  <w:tc>
          <w:tcPr>
            <w:tcW w:w="655" w:type="dxa"/>
          </w:tcPr>
          <w:p w14:paraId="76748818" w14:textId="77777777" w:rsidR="00D57524" w:rsidRPr="00D57524" w:rsidRDefault="00D57524" w:rsidP="006D1284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</w:tr>
      <w:tr w:rsidR="00D57524" w14:paraId="409B369E" w14:textId="77777777" w:rsidTr="00D57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6686484F" w14:textId="6EF56B0C" w:rsidR="00D57524" w:rsidRPr="00D57524" w:rsidRDefault="00D57524" w:rsidP="00553E97">
            <w:pPr>
              <w:spacing w:after="0" w:line="360" w:lineRule="auto"/>
              <w:contextualSpacing/>
              <w:rPr>
                <w:rFonts w:eastAsia="Times New Roman" w:cs="Arial"/>
                <w:b w:val="0"/>
                <w:color w:val="0070C0"/>
                <w:szCs w:val="20"/>
                <w:lang w:val="en-GB" w:eastAsia="en-AU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c) Is opioid medication clinically appropriate in this condition?</w:t>
            </w:r>
          </w:p>
        </w:tc>
        <w:tc>
          <w:tcPr>
            <w:tcW w:w="715" w:type="dxa"/>
          </w:tcPr>
          <w:p w14:paraId="4890F71C" w14:textId="77777777" w:rsidR="00D57524" w:rsidRP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  <w:tc>
          <w:tcPr>
            <w:tcW w:w="655" w:type="dxa"/>
          </w:tcPr>
          <w:p w14:paraId="7C64C309" w14:textId="77777777" w:rsidR="00D57524" w:rsidRP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</w:tr>
      <w:tr w:rsidR="00D57524" w14:paraId="15F8DD05" w14:textId="77777777" w:rsidTr="00D5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BDD6EE" w:themeFill="accent1" w:themeFillTint="66"/>
          </w:tcPr>
          <w:p w14:paraId="7386D07A" w14:textId="191923BA" w:rsidR="00D57524" w:rsidRPr="00D57524" w:rsidRDefault="00D57524" w:rsidP="00553E97">
            <w:pPr>
              <w:spacing w:after="0" w:line="360" w:lineRule="auto"/>
              <w:contextualSpacing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  <w:r w:rsidRPr="00D57524">
              <w:rPr>
                <w:rFonts w:cs="Arial"/>
                <w:color w:val="auto"/>
                <w:szCs w:val="20"/>
              </w:rPr>
              <w:t>2. Opioid treatment</w:t>
            </w:r>
          </w:p>
        </w:tc>
      </w:tr>
      <w:tr w:rsidR="00D57524" w14:paraId="2459C871" w14:textId="77777777" w:rsidTr="00D57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0743D6AC" w14:textId="52B59C21" w:rsidR="00D57524" w:rsidRPr="00D57524" w:rsidRDefault="00D57524" w:rsidP="00553E9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a) Has opioid therapy produced and maintained a measurable improvement in the patient’</w:t>
            </w: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s </w:t>
            </w: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functional capacity?</w:t>
            </w:r>
          </w:p>
        </w:tc>
        <w:tc>
          <w:tcPr>
            <w:tcW w:w="715" w:type="dxa"/>
          </w:tcPr>
          <w:p w14:paraId="508F2D65" w14:textId="77777777" w:rsidR="00D57524" w:rsidRP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  <w:tc>
          <w:tcPr>
            <w:tcW w:w="655" w:type="dxa"/>
          </w:tcPr>
          <w:p w14:paraId="1FCD5C47" w14:textId="77777777" w:rsidR="00D57524" w:rsidRP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</w:tr>
      <w:tr w:rsidR="00D57524" w14:paraId="37A7897E" w14:textId="77777777" w:rsidTr="00D5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236B56D1" w14:textId="2AAA602E" w:rsidR="00D57524" w:rsidRPr="00D57524" w:rsidRDefault="00D57524" w:rsidP="00553E9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b) Are the total doses of all opioids below ‘ceiling’ dose levels? (</w:t>
            </w:r>
            <w:proofErr w:type="spellStart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ie</w:t>
            </w:r>
            <w:proofErr w:type="spellEnd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 for </w:t>
            </w:r>
            <w:r w:rsidRPr="00D57524">
              <w:rPr>
                <w:rFonts w:eastAsia="HelveticaNeueLTStd-Lt" w:cs="Arial"/>
                <w:b w:val="0"/>
                <w:color w:val="FF0000"/>
                <w:szCs w:val="20"/>
              </w:rPr>
              <w:t>[</w:t>
            </w:r>
            <w:r w:rsidRPr="00D57524">
              <w:rPr>
                <w:rFonts w:eastAsia="HelveticaNeueLTStd-Lt" w:cs="Arial"/>
                <w:b w:val="0"/>
                <w:i/>
                <w:iCs/>
                <w:color w:val="FF0000"/>
                <w:szCs w:val="20"/>
              </w:rPr>
              <w:t>Insert practice name</w:t>
            </w:r>
            <w:r w:rsidRPr="00D57524">
              <w:rPr>
                <w:rFonts w:eastAsia="HelveticaNeueLTStd-Lt" w:cs="Arial"/>
                <w:b w:val="0"/>
                <w:color w:val="FF0000"/>
                <w:szCs w:val="20"/>
              </w:rPr>
              <w:t>]</w:t>
            </w: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 </w:t>
            </w: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80 mg morphine equivalent a day)</w:t>
            </w:r>
          </w:p>
        </w:tc>
        <w:tc>
          <w:tcPr>
            <w:tcW w:w="715" w:type="dxa"/>
          </w:tcPr>
          <w:p w14:paraId="67EE5981" w14:textId="77777777" w:rsidR="00D57524" w:rsidRPr="00D57524" w:rsidRDefault="00D57524" w:rsidP="006D1284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  <w:tc>
          <w:tcPr>
            <w:tcW w:w="655" w:type="dxa"/>
          </w:tcPr>
          <w:p w14:paraId="3DEC91F0" w14:textId="77777777" w:rsidR="00D57524" w:rsidRPr="00D57524" w:rsidRDefault="00D57524" w:rsidP="006D1284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</w:tr>
      <w:tr w:rsidR="00D57524" w14:paraId="4F3B43AA" w14:textId="77777777" w:rsidTr="00D57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5A1C7D67" w14:textId="7B699A84" w:rsidR="00D57524" w:rsidRPr="00D57524" w:rsidRDefault="00D57524" w:rsidP="00553E97">
            <w:pPr>
              <w:spacing w:after="0" w:line="360" w:lineRule="auto"/>
              <w:contextualSpacing/>
              <w:rPr>
                <w:rFonts w:eastAsia="Times New Roman" w:cs="Arial"/>
                <w:b w:val="0"/>
                <w:color w:val="0070C0"/>
                <w:szCs w:val="20"/>
                <w:lang w:val="en-GB" w:eastAsia="en-AU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c) Is the patient substantially free from adverse side effects of opioid therapy?</w:t>
            </w:r>
          </w:p>
        </w:tc>
        <w:tc>
          <w:tcPr>
            <w:tcW w:w="715" w:type="dxa"/>
          </w:tcPr>
          <w:p w14:paraId="1203B5B5" w14:textId="77777777" w:rsidR="00D57524" w:rsidRP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  <w:tc>
          <w:tcPr>
            <w:tcW w:w="655" w:type="dxa"/>
          </w:tcPr>
          <w:p w14:paraId="335E99B3" w14:textId="77777777" w:rsidR="00D57524" w:rsidRP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</w:tr>
      <w:tr w:rsidR="00D57524" w14:paraId="18C2F596" w14:textId="77777777" w:rsidTr="00D5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623485B5" w14:textId="2BC55B5E" w:rsidR="00D57524" w:rsidRPr="00D57524" w:rsidRDefault="00D57524" w:rsidP="00553E9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d) Is there continued absence of inappropriate dose escalat</w:t>
            </w: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ion, aberrant behaviour, misuse </w:t>
            </w: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or abuse of opioids?</w:t>
            </w:r>
          </w:p>
        </w:tc>
        <w:tc>
          <w:tcPr>
            <w:tcW w:w="715" w:type="dxa"/>
          </w:tcPr>
          <w:p w14:paraId="13FA5A1B" w14:textId="77777777" w:rsidR="00D57524" w:rsidRPr="00D57524" w:rsidRDefault="00D57524" w:rsidP="006D1284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  <w:tc>
          <w:tcPr>
            <w:tcW w:w="655" w:type="dxa"/>
          </w:tcPr>
          <w:p w14:paraId="065F8020" w14:textId="77777777" w:rsidR="00D57524" w:rsidRPr="00D57524" w:rsidRDefault="00D57524" w:rsidP="006D1284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</w:tr>
      <w:tr w:rsidR="00D57524" w14:paraId="196E332B" w14:textId="77777777" w:rsidTr="00D57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1AA1F697" w14:textId="29FD2681" w:rsidR="00D57524" w:rsidRPr="00D57524" w:rsidRDefault="00D57524" w:rsidP="00553E97">
            <w:pPr>
              <w:spacing w:after="0" w:line="360" w:lineRule="auto"/>
              <w:contextualSpacing/>
              <w:rPr>
                <w:rFonts w:eastAsia="Times New Roman" w:cs="Arial"/>
                <w:b w:val="0"/>
                <w:color w:val="0070C0"/>
                <w:szCs w:val="20"/>
                <w:lang w:val="en-GB" w:eastAsia="en-AU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e) Has a reduction in opioid therapy been trialled?</w:t>
            </w:r>
          </w:p>
        </w:tc>
        <w:tc>
          <w:tcPr>
            <w:tcW w:w="715" w:type="dxa"/>
          </w:tcPr>
          <w:p w14:paraId="527DBB8C" w14:textId="77777777" w:rsidR="00D57524" w:rsidRP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  <w:tc>
          <w:tcPr>
            <w:tcW w:w="655" w:type="dxa"/>
          </w:tcPr>
          <w:p w14:paraId="3C90C8A5" w14:textId="77777777" w:rsidR="00D57524" w:rsidRP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</w:tr>
      <w:tr w:rsidR="00D57524" w14:paraId="4E4D8052" w14:textId="77777777" w:rsidTr="00D5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1D1D72C1" w14:textId="033AA82B" w:rsidR="00D57524" w:rsidRPr="00D57524" w:rsidRDefault="00D57524" w:rsidP="00553E9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proofErr w:type="gramStart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f) Have urine drug screens been used</w:t>
            </w:r>
            <w:proofErr w:type="gramEnd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 to investigate possible </w:t>
            </w: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diversion, compliance, or other </w:t>
            </w: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illicit drug use?</w:t>
            </w:r>
          </w:p>
        </w:tc>
        <w:tc>
          <w:tcPr>
            <w:tcW w:w="715" w:type="dxa"/>
          </w:tcPr>
          <w:p w14:paraId="0DC804DF" w14:textId="77777777" w:rsidR="00D57524" w:rsidRPr="00D57524" w:rsidRDefault="00D57524" w:rsidP="006D1284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  <w:tc>
          <w:tcPr>
            <w:tcW w:w="655" w:type="dxa"/>
          </w:tcPr>
          <w:p w14:paraId="4D6F9FAD" w14:textId="77777777" w:rsidR="00D57524" w:rsidRPr="00D57524" w:rsidRDefault="00D57524" w:rsidP="006D1284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</w:tr>
      <w:tr w:rsidR="00D57524" w14:paraId="235AFCC2" w14:textId="77777777" w:rsidTr="00D5752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BDD6EE" w:themeFill="accent1" w:themeFillTint="66"/>
          </w:tcPr>
          <w:p w14:paraId="52AF1F92" w14:textId="23D605FF" w:rsidR="00D57524" w:rsidRPr="00D57524" w:rsidRDefault="00D57524" w:rsidP="00553E97">
            <w:pPr>
              <w:spacing w:after="0" w:line="360" w:lineRule="auto"/>
              <w:contextualSpacing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  <w:r w:rsidRPr="00D57524">
              <w:rPr>
                <w:rFonts w:cs="Arial"/>
                <w:color w:val="auto"/>
                <w:szCs w:val="20"/>
              </w:rPr>
              <w:t>3. Additional treatment</w:t>
            </w:r>
          </w:p>
        </w:tc>
      </w:tr>
      <w:tr w:rsidR="00D57524" w14:paraId="02CB46F9" w14:textId="77777777" w:rsidTr="00D5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6428DB42" w14:textId="22C6B1CE" w:rsidR="00D57524" w:rsidRPr="00D57524" w:rsidRDefault="00D57524" w:rsidP="00553E97">
            <w:pPr>
              <w:spacing w:after="0" w:line="360" w:lineRule="auto"/>
              <w:contextualSpacing/>
              <w:rPr>
                <w:rFonts w:eastAsia="Times New Roman" w:cs="Arial"/>
                <w:b w:val="0"/>
                <w:color w:val="0070C0"/>
                <w:szCs w:val="20"/>
                <w:lang w:val="en-GB" w:eastAsia="en-AU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a) Are non-drug therapies maximised?</w:t>
            </w:r>
          </w:p>
        </w:tc>
        <w:tc>
          <w:tcPr>
            <w:tcW w:w="715" w:type="dxa"/>
          </w:tcPr>
          <w:p w14:paraId="0E7068EB" w14:textId="77777777" w:rsidR="00D57524" w:rsidRPr="00D57524" w:rsidRDefault="00D57524" w:rsidP="006D1284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  <w:tc>
          <w:tcPr>
            <w:tcW w:w="655" w:type="dxa"/>
          </w:tcPr>
          <w:p w14:paraId="0975AF1B" w14:textId="77777777" w:rsidR="00D57524" w:rsidRPr="00D57524" w:rsidRDefault="00D57524" w:rsidP="006D1284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</w:tr>
      <w:tr w:rsidR="00D57524" w14:paraId="073A8894" w14:textId="77777777" w:rsidTr="00D57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0FC88D37" w14:textId="77777777" w:rsidR="00D57524" w:rsidRPr="00D57524" w:rsidRDefault="00D57524" w:rsidP="00553E9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b) Given the clinical complexity and risk, is the current level of specialist care and</w:t>
            </w:r>
          </w:p>
          <w:p w14:paraId="1BDE3433" w14:textId="77777777" w:rsidR="00D57524" w:rsidRPr="00D57524" w:rsidRDefault="00D57524" w:rsidP="00553E9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proofErr w:type="gramStart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multidisciplinary</w:t>
            </w:r>
            <w:proofErr w:type="gramEnd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 intervention adequate and appropriate?</w:t>
            </w:r>
          </w:p>
          <w:p w14:paraId="36854B5D" w14:textId="77777777" w:rsidR="00D57524" w:rsidRPr="00D57524" w:rsidRDefault="00D57524" w:rsidP="00553E9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i/>
                <w:iCs/>
                <w:color w:val="FF0000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In general the following scenarios are considered as complex and high risk by </w:t>
            </w:r>
            <w:r w:rsidRPr="00D57524">
              <w:rPr>
                <w:rFonts w:eastAsia="HelveticaNeueLTStd-Lt" w:cs="Arial"/>
                <w:b w:val="0"/>
                <w:color w:val="FF0000"/>
                <w:szCs w:val="20"/>
              </w:rPr>
              <w:t>[</w:t>
            </w:r>
            <w:r w:rsidRPr="00D57524">
              <w:rPr>
                <w:rFonts w:eastAsia="HelveticaNeueLTStd-Lt" w:cs="Arial"/>
                <w:b w:val="0"/>
                <w:i/>
                <w:iCs/>
                <w:color w:val="FF0000"/>
                <w:szCs w:val="20"/>
              </w:rPr>
              <w:t>Insert</w:t>
            </w:r>
          </w:p>
          <w:p w14:paraId="32A90986" w14:textId="77777777" w:rsidR="00D57524" w:rsidRPr="00D57524" w:rsidRDefault="00D57524" w:rsidP="00553E9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i/>
                <w:iCs/>
                <w:color w:val="FF0000"/>
                <w:szCs w:val="20"/>
              </w:rPr>
              <w:t>practice name</w:t>
            </w:r>
            <w:r w:rsidRPr="00D57524">
              <w:rPr>
                <w:rFonts w:eastAsia="HelveticaNeueLTStd-Lt" w:cs="Arial"/>
                <w:b w:val="0"/>
                <w:color w:val="FF0000"/>
                <w:szCs w:val="20"/>
              </w:rPr>
              <w:t>]</w:t>
            </w: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, and indicated for specialist and multidisciplinary review:</w:t>
            </w:r>
          </w:p>
          <w:p w14:paraId="19DF323F" w14:textId="40ACED12" w:rsidR="00D57524" w:rsidRPr="00D57524" w:rsidRDefault="00D57524" w:rsidP="00553E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those who use two or more psychoactive drugs in combination (</w:t>
            </w:r>
            <w:proofErr w:type="spellStart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polydrug</w:t>
            </w:r>
            <w:proofErr w:type="spellEnd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 use) (</w:t>
            </w:r>
            <w:proofErr w:type="spellStart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eg</w:t>
            </w:r>
            <w:proofErr w:type="spellEnd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 opioid,</w:t>
            </w:r>
          </w:p>
          <w:p w14:paraId="22976930" w14:textId="77777777" w:rsidR="00D57524" w:rsidRPr="00D57524" w:rsidRDefault="00D57524" w:rsidP="00553E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benzodiazepines, antipsychotic, anti-epileptics, and depressants)</w:t>
            </w:r>
          </w:p>
          <w:p w14:paraId="25AB2929" w14:textId="3A1379DE" w:rsidR="00D57524" w:rsidRPr="00D57524" w:rsidRDefault="00D57524" w:rsidP="00553E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patients with serious mental illness comorbidities, or antipsychotic medication</w:t>
            </w:r>
          </w:p>
          <w:p w14:paraId="3256D1C0" w14:textId="13D5BD42" w:rsidR="00D57524" w:rsidRPr="00D57524" w:rsidRDefault="00D57524" w:rsidP="00553E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mixed use of opioids and illicit drugs</w:t>
            </w:r>
          </w:p>
          <w:p w14:paraId="47B99402" w14:textId="3439A7B9" w:rsidR="00D57524" w:rsidRPr="00D57524" w:rsidRDefault="00D57524" w:rsidP="00553E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mixed use of opioids and benzodiazepines</w:t>
            </w:r>
          </w:p>
          <w:p w14:paraId="356FE1BA" w14:textId="14770227" w:rsidR="00D57524" w:rsidRPr="00D57524" w:rsidRDefault="00D57524" w:rsidP="00553E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recent discharge from a correctional services facility</w:t>
            </w:r>
          </w:p>
          <w:p w14:paraId="3F24274E" w14:textId="77777777" w:rsidR="00D57524" w:rsidRPr="00D57524" w:rsidRDefault="00D57524" w:rsidP="00553E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patients discharged from other general practices due to problematic behaviour</w:t>
            </w:r>
          </w:p>
          <w:p w14:paraId="68737DE6" w14:textId="6904A357" w:rsidR="00D57524" w:rsidRPr="00D57524" w:rsidRDefault="00D57524" w:rsidP="00553E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proofErr w:type="gramStart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signs</w:t>
            </w:r>
            <w:proofErr w:type="gramEnd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 of potential high-risk behaviours.</w:t>
            </w:r>
          </w:p>
        </w:tc>
        <w:tc>
          <w:tcPr>
            <w:tcW w:w="715" w:type="dxa"/>
          </w:tcPr>
          <w:p w14:paraId="31B1CB41" w14:textId="77777777" w:rsidR="00D57524" w:rsidRP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  <w:tc>
          <w:tcPr>
            <w:tcW w:w="655" w:type="dxa"/>
          </w:tcPr>
          <w:p w14:paraId="0CCF4945" w14:textId="77777777" w:rsidR="00D57524" w:rsidRP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</w:p>
        </w:tc>
      </w:tr>
      <w:tr w:rsidR="00D57524" w14:paraId="3450CC64" w14:textId="77777777" w:rsidTr="00D5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BDD6EE" w:themeFill="accent1" w:themeFillTint="66"/>
          </w:tcPr>
          <w:p w14:paraId="0717BA40" w14:textId="014B382A" w:rsidR="00D57524" w:rsidRDefault="00D57524" w:rsidP="00553E97">
            <w:pPr>
              <w:spacing w:after="0" w:line="360" w:lineRule="auto"/>
              <w:contextualSpacing/>
              <w:rPr>
                <w:rFonts w:eastAsia="Times New Roman" w:cs="Arial"/>
                <w:color w:val="0070C0"/>
                <w:sz w:val="28"/>
                <w:szCs w:val="28"/>
                <w:lang w:val="en-GB" w:eastAsia="en-AU"/>
              </w:rPr>
            </w:pPr>
            <w:r w:rsidRPr="00D57524">
              <w:rPr>
                <w:rFonts w:cs="Arial"/>
                <w:color w:val="auto"/>
                <w:szCs w:val="20"/>
              </w:rPr>
              <w:t>4. Compliance</w:t>
            </w:r>
          </w:p>
        </w:tc>
      </w:tr>
      <w:tr w:rsidR="00D57524" w14:paraId="14D7C90F" w14:textId="77777777" w:rsidTr="00D57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</w:tcPr>
          <w:p w14:paraId="53EC7FD4" w14:textId="77777777" w:rsidR="00D57524" w:rsidRPr="00D57524" w:rsidRDefault="00D57524" w:rsidP="00553E9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HelveticaNeueLTStd-Lt" w:cs="Arial"/>
                <w:b w:val="0"/>
                <w:color w:val="auto"/>
                <w:szCs w:val="20"/>
              </w:rPr>
            </w:pPr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a) Is current opioid prescribing compliant with relevant state and territory laws and</w:t>
            </w:r>
          </w:p>
          <w:p w14:paraId="1877E8D8" w14:textId="32F0BFE8" w:rsidR="00D57524" w:rsidRPr="00D57524" w:rsidRDefault="00D57524" w:rsidP="00553E97">
            <w:pPr>
              <w:spacing w:after="0" w:line="360" w:lineRule="auto"/>
              <w:contextualSpacing/>
              <w:rPr>
                <w:rFonts w:eastAsia="Times New Roman" w:cs="Arial"/>
                <w:color w:val="0070C0"/>
                <w:szCs w:val="20"/>
                <w:lang w:val="en-GB" w:eastAsia="en-AU"/>
              </w:rPr>
            </w:pPr>
            <w:proofErr w:type="gramStart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>regulations</w:t>
            </w:r>
            <w:proofErr w:type="gramEnd"/>
            <w:r w:rsidRPr="00D57524">
              <w:rPr>
                <w:rFonts w:eastAsia="HelveticaNeueLTStd-Lt" w:cs="Arial"/>
                <w:b w:val="0"/>
                <w:color w:val="auto"/>
                <w:szCs w:val="20"/>
              </w:rPr>
              <w:t xml:space="preserve"> for controlled substances?</w:t>
            </w:r>
          </w:p>
        </w:tc>
        <w:tc>
          <w:tcPr>
            <w:tcW w:w="715" w:type="dxa"/>
          </w:tcPr>
          <w:p w14:paraId="4B2C615D" w14:textId="77777777" w:rsid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 w:val="28"/>
                <w:szCs w:val="28"/>
                <w:lang w:val="en-GB" w:eastAsia="en-AU"/>
              </w:rPr>
            </w:pPr>
          </w:p>
        </w:tc>
        <w:tc>
          <w:tcPr>
            <w:tcW w:w="655" w:type="dxa"/>
          </w:tcPr>
          <w:p w14:paraId="009FFDC9" w14:textId="77777777" w:rsidR="00D57524" w:rsidRDefault="00D57524" w:rsidP="006D128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sz w:val="28"/>
                <w:szCs w:val="28"/>
                <w:lang w:val="en-GB" w:eastAsia="en-AU"/>
              </w:rPr>
            </w:pPr>
          </w:p>
        </w:tc>
      </w:tr>
    </w:tbl>
    <w:p w14:paraId="4F529DF6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72A40FE4" w14:textId="43440200" w:rsidR="00553E97" w:rsidRDefault="00553E97" w:rsidP="00553E97">
      <w:pPr>
        <w:spacing w:after="0"/>
        <w:contextualSpacing/>
        <w:rPr>
          <w:rFonts w:eastAsia="Times New Roman" w:cs="Arial"/>
          <w:color w:val="auto"/>
          <w:szCs w:val="20"/>
          <w:lang w:eastAsia="en-AU"/>
        </w:rPr>
      </w:pPr>
      <w:r w:rsidRPr="00553E97">
        <w:rPr>
          <w:rFonts w:eastAsia="Times New Roman" w:cs="Arial"/>
          <w:color w:val="auto"/>
          <w:szCs w:val="20"/>
          <w:lang w:eastAsia="en-AU"/>
        </w:rPr>
        <w:t xml:space="preserve">Answering </w:t>
      </w:r>
      <w:r w:rsidRPr="00553E97">
        <w:rPr>
          <w:rFonts w:eastAsia="Times New Roman" w:cs="Arial" w:hint="eastAsia"/>
          <w:color w:val="auto"/>
          <w:szCs w:val="20"/>
          <w:lang w:eastAsia="en-AU"/>
        </w:rPr>
        <w:t>‘</w:t>
      </w:r>
      <w:r w:rsidRPr="00553E97">
        <w:rPr>
          <w:rFonts w:eastAsia="Times New Roman" w:cs="Arial"/>
          <w:color w:val="auto"/>
          <w:szCs w:val="20"/>
          <w:lang w:eastAsia="en-AU"/>
        </w:rPr>
        <w:t>no</w:t>
      </w:r>
      <w:r w:rsidRPr="00553E97">
        <w:rPr>
          <w:rFonts w:eastAsia="Times New Roman" w:cs="Arial" w:hint="eastAsia"/>
          <w:color w:val="auto"/>
          <w:szCs w:val="20"/>
          <w:lang w:eastAsia="en-AU"/>
        </w:rPr>
        <w:t>’</w:t>
      </w:r>
      <w:r w:rsidRPr="00553E97">
        <w:rPr>
          <w:rFonts w:eastAsia="Times New Roman" w:cs="Arial"/>
          <w:color w:val="auto"/>
          <w:szCs w:val="20"/>
          <w:lang w:eastAsia="en-AU"/>
        </w:rPr>
        <w:t xml:space="preserve"> to any of the above options should prompt a consid</w:t>
      </w:r>
      <w:r>
        <w:rPr>
          <w:rFonts w:eastAsia="Times New Roman" w:cs="Arial"/>
          <w:color w:val="auto"/>
          <w:szCs w:val="20"/>
          <w:lang w:eastAsia="en-AU"/>
        </w:rPr>
        <w:t xml:space="preserve">eration to alter the management </w:t>
      </w:r>
      <w:r w:rsidRPr="00553E97">
        <w:rPr>
          <w:rFonts w:eastAsia="Times New Roman" w:cs="Arial"/>
          <w:color w:val="auto"/>
          <w:szCs w:val="20"/>
          <w:lang w:eastAsia="en-AU"/>
        </w:rPr>
        <w:t>plan.</w:t>
      </w:r>
    </w:p>
    <w:p w14:paraId="27332A39" w14:textId="77777777" w:rsidR="00553E97" w:rsidRPr="00553E97" w:rsidRDefault="00553E97" w:rsidP="00553E97">
      <w:pPr>
        <w:spacing w:after="0"/>
        <w:contextualSpacing/>
        <w:rPr>
          <w:rFonts w:eastAsia="Times New Roman" w:cs="Arial"/>
          <w:color w:val="auto"/>
          <w:szCs w:val="20"/>
          <w:lang w:eastAsia="en-AU"/>
        </w:rPr>
      </w:pPr>
    </w:p>
    <w:p w14:paraId="1B027FF3" w14:textId="77777777" w:rsidR="00553E97" w:rsidRPr="00553E97" w:rsidRDefault="00553E97" w:rsidP="00553E97">
      <w:pPr>
        <w:spacing w:after="0"/>
        <w:contextualSpacing/>
        <w:rPr>
          <w:rFonts w:eastAsia="Times New Roman" w:cs="Arial"/>
          <w:b/>
          <w:color w:val="auto"/>
          <w:szCs w:val="20"/>
          <w:lang w:eastAsia="en-AU"/>
        </w:rPr>
      </w:pPr>
      <w:r w:rsidRPr="00553E97">
        <w:rPr>
          <w:rFonts w:eastAsia="Times New Roman" w:cs="Arial"/>
          <w:b/>
          <w:color w:val="auto"/>
          <w:szCs w:val="20"/>
          <w:lang w:eastAsia="en-AU"/>
        </w:rPr>
        <w:t>Recommendations</w:t>
      </w:r>
    </w:p>
    <w:p w14:paraId="7DB5D9D8" w14:textId="77777777" w:rsidR="00553E97" w:rsidRPr="00553E97" w:rsidRDefault="00553E97" w:rsidP="00553E97">
      <w:pPr>
        <w:pStyle w:val="ListParagraph"/>
        <w:numPr>
          <w:ilvl w:val="0"/>
          <w:numId w:val="7"/>
        </w:numPr>
        <w:spacing w:after="0"/>
        <w:rPr>
          <w:rFonts w:eastAsia="Times New Roman" w:cs="Arial"/>
          <w:color w:val="auto"/>
          <w:szCs w:val="20"/>
          <w:lang w:eastAsia="en-AU"/>
        </w:rPr>
      </w:pPr>
      <w:r w:rsidRPr="00553E97">
        <w:rPr>
          <w:rFonts w:eastAsia="Times New Roman" w:cs="Arial"/>
          <w:color w:val="auto"/>
          <w:szCs w:val="20"/>
          <w:lang w:eastAsia="en-AU"/>
        </w:rPr>
        <w:t xml:space="preserve">Continue therapy </w:t>
      </w:r>
    </w:p>
    <w:p w14:paraId="16BE719F" w14:textId="77777777" w:rsidR="00553E97" w:rsidRPr="00553E97" w:rsidRDefault="00553E97" w:rsidP="00553E97">
      <w:pPr>
        <w:pStyle w:val="ListParagraph"/>
        <w:numPr>
          <w:ilvl w:val="0"/>
          <w:numId w:val="7"/>
        </w:numPr>
        <w:spacing w:after="0"/>
        <w:rPr>
          <w:rFonts w:eastAsia="Times New Roman" w:cs="Arial"/>
          <w:color w:val="auto"/>
          <w:szCs w:val="20"/>
          <w:lang w:eastAsia="en-AU"/>
        </w:rPr>
      </w:pPr>
      <w:r w:rsidRPr="00553E97">
        <w:rPr>
          <w:rFonts w:eastAsia="Times New Roman" w:cs="Arial"/>
          <w:color w:val="auto"/>
          <w:szCs w:val="20"/>
          <w:lang w:eastAsia="en-AU"/>
        </w:rPr>
        <w:t xml:space="preserve">Reduce opioid dose </w:t>
      </w:r>
    </w:p>
    <w:p w14:paraId="49F34E8A" w14:textId="23198D45" w:rsidR="00553E97" w:rsidRPr="00553E97" w:rsidRDefault="00553E97" w:rsidP="00553E97">
      <w:pPr>
        <w:pStyle w:val="ListParagraph"/>
        <w:numPr>
          <w:ilvl w:val="0"/>
          <w:numId w:val="7"/>
        </w:numPr>
        <w:spacing w:after="0"/>
        <w:rPr>
          <w:rFonts w:eastAsia="Times New Roman" w:cs="Arial"/>
          <w:color w:val="auto"/>
          <w:szCs w:val="20"/>
          <w:lang w:eastAsia="en-AU"/>
        </w:rPr>
      </w:pPr>
      <w:r w:rsidRPr="00553E97">
        <w:rPr>
          <w:rFonts w:eastAsia="Times New Roman" w:cs="Arial"/>
          <w:color w:val="auto"/>
          <w:szCs w:val="20"/>
          <w:lang w:eastAsia="en-AU"/>
        </w:rPr>
        <w:t>Reduce and cease opioids</w:t>
      </w:r>
    </w:p>
    <w:p w14:paraId="132400F4" w14:textId="77777777" w:rsidR="00553E97" w:rsidRPr="00553E97" w:rsidRDefault="00553E97" w:rsidP="00553E97">
      <w:pPr>
        <w:pStyle w:val="ListParagraph"/>
        <w:numPr>
          <w:ilvl w:val="0"/>
          <w:numId w:val="7"/>
        </w:numPr>
        <w:spacing w:after="0"/>
        <w:rPr>
          <w:rFonts w:eastAsia="Times New Roman" w:cs="Arial"/>
          <w:color w:val="auto"/>
          <w:szCs w:val="20"/>
          <w:lang w:eastAsia="en-AU"/>
        </w:rPr>
      </w:pPr>
      <w:r w:rsidRPr="00553E97">
        <w:rPr>
          <w:rFonts w:eastAsia="Times New Roman" w:cs="Arial"/>
          <w:color w:val="auto"/>
          <w:szCs w:val="20"/>
          <w:lang w:eastAsia="en-AU"/>
        </w:rPr>
        <w:t xml:space="preserve">Pursue alternate therapies </w:t>
      </w:r>
    </w:p>
    <w:p w14:paraId="2F2CA1E7" w14:textId="67455918" w:rsidR="000351B1" w:rsidRPr="00553E97" w:rsidRDefault="00553E97" w:rsidP="00553E97">
      <w:pPr>
        <w:pStyle w:val="ListParagraph"/>
        <w:numPr>
          <w:ilvl w:val="0"/>
          <w:numId w:val="7"/>
        </w:numPr>
        <w:spacing w:after="0"/>
        <w:rPr>
          <w:rFonts w:eastAsia="Times New Roman" w:cs="Arial"/>
          <w:color w:val="auto"/>
          <w:szCs w:val="20"/>
          <w:lang w:val="en-GB" w:eastAsia="en-AU"/>
        </w:rPr>
      </w:pPr>
      <w:r w:rsidRPr="00553E97">
        <w:rPr>
          <w:rFonts w:eastAsia="Times New Roman" w:cs="Arial"/>
          <w:color w:val="auto"/>
          <w:szCs w:val="20"/>
          <w:lang w:eastAsia="en-AU"/>
        </w:rPr>
        <w:t>Suggest specialist review</w:t>
      </w:r>
    </w:p>
    <w:p w14:paraId="37E90D32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F97585B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46480AA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D3B6511" w14:textId="77777777" w:rsidR="006D1284" w:rsidRDefault="006D1284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  <w:r>
        <w:rPr>
          <w:rFonts w:eastAsia="Times New Roman" w:cs="Arial"/>
          <w:color w:val="0070C0"/>
          <w:sz w:val="28"/>
          <w:szCs w:val="28"/>
          <w:lang w:val="en-GB" w:eastAsia="en-AU"/>
        </w:rPr>
        <w:t>Disclaimer</w:t>
      </w:r>
    </w:p>
    <w:p w14:paraId="0A80BD97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 xml:space="preserve">The information set out in this publication is current at the date of first publication and </w:t>
      </w:r>
      <w:proofErr w:type="gramStart"/>
      <w:r w:rsidRPr="0002280E">
        <w:rPr>
          <w:rFonts w:cs="Arial"/>
          <w:sz w:val="16"/>
          <w:szCs w:val="16"/>
        </w:rPr>
        <w:t>is intended</w:t>
      </w:r>
      <w:proofErr w:type="gramEnd"/>
      <w:r w:rsidRPr="0002280E">
        <w:rPr>
          <w:rFonts w:cs="Arial"/>
          <w:sz w:val="16"/>
          <w:szCs w:val="16"/>
        </w:rPr>
        <w:t xml:space="preserve">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07F61278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062F2A14" w14:textId="0A45E68C" w:rsidR="000351B1" w:rsidRPr="0002280E" w:rsidRDefault="000351B1" w:rsidP="000351B1">
      <w:pPr>
        <w:spacing w:after="0" w:line="240" w:lineRule="auto"/>
        <w:rPr>
          <w:rFonts w:cs="Arial"/>
          <w:sz w:val="16"/>
          <w:szCs w:val="16"/>
          <w:highlight w:val="yellow"/>
        </w:rPr>
      </w:pPr>
      <w:r w:rsidRPr="0002280E">
        <w:rPr>
          <w:rFonts w:cs="Arial"/>
          <w:sz w:val="16"/>
          <w:szCs w:val="16"/>
        </w:rPr>
        <w:t xml:space="preserve">© The Royal Australian College of General </w:t>
      </w:r>
      <w:r w:rsidRPr="00E83AB2">
        <w:rPr>
          <w:rFonts w:cs="Arial"/>
          <w:sz w:val="16"/>
          <w:szCs w:val="16"/>
        </w:rPr>
        <w:t xml:space="preserve">Practitioners </w:t>
      </w:r>
      <w:r w:rsidR="00E83AB2" w:rsidRPr="00E83AB2">
        <w:rPr>
          <w:rFonts w:cs="Arial"/>
          <w:sz w:val="16"/>
          <w:szCs w:val="16"/>
        </w:rPr>
        <w:t>[2019</w:t>
      </w:r>
      <w:r w:rsidRPr="00E83AB2">
        <w:rPr>
          <w:rFonts w:cs="Arial"/>
          <w:sz w:val="16"/>
          <w:szCs w:val="16"/>
        </w:rPr>
        <w:t>]</w:t>
      </w:r>
    </w:p>
    <w:p w14:paraId="5A6DF717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47AD1EA3" w14:textId="77777777" w:rsidR="000351B1" w:rsidRDefault="00553E97" w:rsidP="000351B1">
      <w:pPr>
        <w:spacing w:after="0" w:line="240" w:lineRule="auto"/>
        <w:rPr>
          <w:rFonts w:cs="Arial"/>
          <w:sz w:val="16"/>
          <w:szCs w:val="16"/>
        </w:rPr>
      </w:pPr>
      <w:hyperlink r:id="rId8" w:history="1"/>
      <w:hyperlink r:id="rId9" w:history="1">
        <w:r w:rsidR="000351B1" w:rsidRPr="000871B9">
          <w:rPr>
            <w:rFonts w:cs="Arial"/>
            <w:sz w:val="16"/>
            <w:szCs w:val="16"/>
          </w:rPr>
          <w:t>This</w:t>
        </w:r>
      </w:hyperlink>
      <w:r w:rsidR="000351B1" w:rsidRPr="000871B9">
        <w:rPr>
          <w:rFonts w:cs="Arial"/>
          <w:sz w:val="16"/>
          <w:szCs w:val="16"/>
        </w:rPr>
        <w:t xml:space="preserve"> resource </w:t>
      </w:r>
      <w:proofErr w:type="gramStart"/>
      <w:r w:rsidR="000351B1" w:rsidRPr="000871B9">
        <w:rPr>
          <w:rFonts w:cs="Arial"/>
          <w:sz w:val="16"/>
          <w:szCs w:val="16"/>
        </w:rPr>
        <w:t>is provided</w:t>
      </w:r>
      <w:proofErr w:type="gramEnd"/>
      <w:r w:rsidR="000351B1" w:rsidRPr="000871B9">
        <w:rPr>
          <w:rFonts w:cs="Arial"/>
          <w:sz w:val="16"/>
          <w:szCs w:val="16"/>
        </w:rPr>
        <w:t xml:space="preserve"> under licence by the RACGP. Full terms are available at </w:t>
      </w:r>
      <w:hyperlink r:id="rId10" w:history="1">
        <w:r w:rsidR="000351B1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0351B1">
        <w:rPr>
          <w:rFonts w:cs="Arial"/>
          <w:sz w:val="16"/>
          <w:szCs w:val="16"/>
        </w:rPr>
        <w:t xml:space="preserve"> </w:t>
      </w:r>
    </w:p>
    <w:p w14:paraId="577D3658" w14:textId="77777777" w:rsidR="000351B1" w:rsidRDefault="000351B1" w:rsidP="000351B1">
      <w:pPr>
        <w:spacing w:after="0" w:line="240" w:lineRule="auto"/>
        <w:rPr>
          <w:rFonts w:cs="Arial"/>
          <w:sz w:val="16"/>
          <w:szCs w:val="16"/>
        </w:rPr>
      </w:pPr>
    </w:p>
    <w:p w14:paraId="799AB3B8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68AAD35B" w14:textId="40CF28A2" w:rsidR="00062BE7" w:rsidRPr="006D1284" w:rsidRDefault="00062BE7" w:rsidP="006D1284">
      <w:bookmarkStart w:id="0" w:name="_GoBack"/>
      <w:bookmarkEnd w:id="0"/>
    </w:p>
    <w:sectPr w:rsidR="00062BE7" w:rsidRPr="006D1284" w:rsidSect="001D0673">
      <w:headerReference w:type="default" r:id="rId11"/>
      <w:footerReference w:type="default" r:id="rId12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Std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49E64BCC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E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553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5F5B"/>
    <w:multiLevelType w:val="hybridMultilevel"/>
    <w:tmpl w:val="CE5E6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75E87"/>
    <w:multiLevelType w:val="hybridMultilevel"/>
    <w:tmpl w:val="545E2D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0F05CF"/>
    <w:multiLevelType w:val="hybridMultilevel"/>
    <w:tmpl w:val="7646E428"/>
    <w:lvl w:ilvl="0" w:tplc="8F6C9318">
      <w:numFmt w:val="bullet"/>
      <w:lvlText w:val="•"/>
      <w:lvlJc w:val="left"/>
      <w:pPr>
        <w:ind w:left="720" w:hanging="360"/>
      </w:pPr>
      <w:rPr>
        <w:rFonts w:ascii="HelveticaNeueLTStd-Lt" w:eastAsia="HelveticaNeueLTStd-Lt" w:hAnsiTheme="minorHAnsi" w:cs="HelveticaNeueLTStd-Lt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96CC1"/>
    <w:multiLevelType w:val="hybridMultilevel"/>
    <w:tmpl w:val="F10629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9A4949"/>
    <w:multiLevelType w:val="hybridMultilevel"/>
    <w:tmpl w:val="776CC552"/>
    <w:lvl w:ilvl="0" w:tplc="4FE8E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7310E"/>
    <w:multiLevelType w:val="hybridMultilevel"/>
    <w:tmpl w:val="646283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ED79CF"/>
    <w:multiLevelType w:val="hybridMultilevel"/>
    <w:tmpl w:val="A1C46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351B1"/>
    <w:rsid w:val="00062BE7"/>
    <w:rsid w:val="000C47B4"/>
    <w:rsid w:val="00120180"/>
    <w:rsid w:val="001D0673"/>
    <w:rsid w:val="00267DDF"/>
    <w:rsid w:val="002C2095"/>
    <w:rsid w:val="002C4C1B"/>
    <w:rsid w:val="003736FB"/>
    <w:rsid w:val="003A7CE5"/>
    <w:rsid w:val="004416A5"/>
    <w:rsid w:val="00465E70"/>
    <w:rsid w:val="004A430C"/>
    <w:rsid w:val="00553E97"/>
    <w:rsid w:val="005A7623"/>
    <w:rsid w:val="005A7A80"/>
    <w:rsid w:val="005B1E07"/>
    <w:rsid w:val="006154AB"/>
    <w:rsid w:val="006B7663"/>
    <w:rsid w:val="006D1284"/>
    <w:rsid w:val="0071358B"/>
    <w:rsid w:val="00734AAB"/>
    <w:rsid w:val="008168BD"/>
    <w:rsid w:val="008509BF"/>
    <w:rsid w:val="008C7DFE"/>
    <w:rsid w:val="00907695"/>
    <w:rsid w:val="009D7FC6"/>
    <w:rsid w:val="00A4502D"/>
    <w:rsid w:val="00B353F3"/>
    <w:rsid w:val="00BF419D"/>
    <w:rsid w:val="00D57524"/>
    <w:rsid w:val="00DA6A43"/>
    <w:rsid w:val="00E24909"/>
    <w:rsid w:val="00E5541E"/>
    <w:rsid w:val="00E83AB2"/>
    <w:rsid w:val="00E94D6E"/>
    <w:rsid w:val="00FB79CF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A43"/>
    <w:rPr>
      <w:rFonts w:ascii="Arial" w:hAnsi="Arial"/>
      <w:b/>
      <w:bCs/>
      <w:color w:val="282828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A43"/>
    <w:rPr>
      <w:rFonts w:ascii="Arial" w:hAnsi="Arial"/>
      <w:b/>
      <w:bCs/>
      <w:color w:val="282828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D5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5752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acgp.org.au/usage/lic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Mahala Boughton</cp:lastModifiedBy>
  <cp:revision>2</cp:revision>
  <dcterms:created xsi:type="dcterms:W3CDTF">2019-07-02T02:14:00Z</dcterms:created>
  <dcterms:modified xsi:type="dcterms:W3CDTF">2019-07-02T02:14:00Z</dcterms:modified>
</cp:coreProperties>
</file>