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6B31702D" w:rsidR="002C4C1B" w:rsidRDefault="002C4C1B" w:rsidP="002C4C1B">
      <w:pPr>
        <w:rPr>
          <w:rFonts w:ascii="Georgia" w:hAnsi="Georgia" w:cs="Adobe Devanagari"/>
          <w:color w:val="000000" w:themeColor="text1"/>
          <w:sz w:val="32"/>
          <w:szCs w:val="32"/>
        </w:rPr>
      </w:pPr>
      <w:r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Opioid </w:t>
      </w:r>
      <w:r w:rsidR="002E2089">
        <w:rPr>
          <w:rFonts w:ascii="Georgia" w:hAnsi="Georgia" w:cs="Adobe Devanagari"/>
          <w:i/>
          <w:color w:val="000000" w:themeColor="text1"/>
          <w:sz w:val="32"/>
          <w:szCs w:val="32"/>
        </w:rPr>
        <w:t>dosing threshold</w:t>
      </w:r>
      <w:r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 policy template</w:t>
      </w:r>
    </w:p>
    <w:p w14:paraId="09C139CF" w14:textId="4B0B747F" w:rsidR="007A0E46" w:rsidRDefault="007A0E46" w:rsidP="002C4C1B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Purpose:</w:t>
      </w:r>
    </w:p>
    <w:p w14:paraId="6834C588" w14:textId="448A29B1" w:rsidR="002E2089" w:rsidRDefault="002E2089" w:rsidP="002E2089">
      <w:pPr>
        <w:rPr>
          <w:rFonts w:cs="Arial"/>
          <w:color w:val="000000" w:themeColor="text1"/>
          <w:szCs w:val="20"/>
        </w:rPr>
      </w:pPr>
      <w:r w:rsidRPr="002E2089">
        <w:rPr>
          <w:rFonts w:cs="Arial"/>
          <w:color w:val="000000" w:themeColor="text1"/>
          <w:szCs w:val="20"/>
        </w:rPr>
        <w:t>To detail safe limitations for prescribing opioid medication in this practice. The policy relates to</w:t>
      </w:r>
      <w:r>
        <w:rPr>
          <w:rFonts w:cs="Arial"/>
          <w:color w:val="000000" w:themeColor="text1"/>
          <w:szCs w:val="20"/>
        </w:rPr>
        <w:t xml:space="preserve"> </w:t>
      </w:r>
      <w:r w:rsidRPr="002E2089">
        <w:rPr>
          <w:rFonts w:cs="Arial"/>
          <w:color w:val="000000" w:themeColor="text1"/>
          <w:szCs w:val="20"/>
        </w:rPr>
        <w:t>indications other than malignant pain.</w:t>
      </w:r>
    </w:p>
    <w:p w14:paraId="5B4F9486" w14:textId="4B8AED5D" w:rsidR="00FC6290" w:rsidRPr="00483679" w:rsidRDefault="00FC6290" w:rsidP="002E2089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7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</w:p>
    <w:p w14:paraId="6B626F6E" w14:textId="2CE62FD6" w:rsidR="006D1284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>
        <w:rPr>
          <w:rFonts w:cs="Arial"/>
          <w:color w:val="FF0000"/>
          <w:sz w:val="36"/>
          <w:szCs w:val="24"/>
          <w:lang w:val="en-GB"/>
        </w:rPr>
        <w:t xml:space="preserve"> practice name] </w:t>
      </w:r>
      <w:r w:rsidR="002C4C1B">
        <w:rPr>
          <w:rFonts w:cs="Arial"/>
          <w:color w:val="0070C0"/>
          <w:sz w:val="36"/>
          <w:szCs w:val="24"/>
          <w:lang w:val="en-GB"/>
        </w:rPr>
        <w:t xml:space="preserve">opioid </w:t>
      </w:r>
      <w:r w:rsidR="002E2089">
        <w:rPr>
          <w:rFonts w:cs="Arial"/>
          <w:color w:val="0070C0"/>
          <w:sz w:val="36"/>
          <w:szCs w:val="24"/>
          <w:lang w:val="en-GB"/>
        </w:rPr>
        <w:t xml:space="preserve">dosing threshold policy </w:t>
      </w: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p w14:paraId="0A088806" w14:textId="77777777" w:rsidR="002E2089" w:rsidRPr="002E2089" w:rsidRDefault="002E2089" w:rsidP="002E2089">
      <w:pPr>
        <w:spacing w:after="0"/>
        <w:rPr>
          <w:rFonts w:cs="Arial"/>
          <w:bCs/>
        </w:rPr>
      </w:pPr>
      <w:r w:rsidRPr="002E2089">
        <w:rPr>
          <w:rFonts w:cs="Arial"/>
          <w:bCs/>
        </w:rPr>
        <w:t>To detail safe limitations for prescribing opioid medication in this practice. The policy relates to</w:t>
      </w:r>
    </w:p>
    <w:p w14:paraId="70018EC5" w14:textId="0456F6A5" w:rsidR="00BF419D" w:rsidRDefault="002E2089" w:rsidP="002E2089">
      <w:pPr>
        <w:spacing w:after="0"/>
        <w:rPr>
          <w:rFonts w:cs="Arial"/>
          <w:bCs/>
        </w:rPr>
      </w:pPr>
      <w:proofErr w:type="gramStart"/>
      <w:r w:rsidRPr="002E2089">
        <w:rPr>
          <w:rFonts w:cs="Arial"/>
          <w:bCs/>
        </w:rPr>
        <w:t>indications</w:t>
      </w:r>
      <w:proofErr w:type="gramEnd"/>
      <w:r w:rsidRPr="002E2089">
        <w:rPr>
          <w:rFonts w:cs="Arial"/>
          <w:bCs/>
        </w:rPr>
        <w:t xml:space="preserve"> other than malignant pain.</w:t>
      </w:r>
    </w:p>
    <w:p w14:paraId="22A040E7" w14:textId="77777777" w:rsidR="002E2089" w:rsidRDefault="002E2089" w:rsidP="002E2089">
      <w:pPr>
        <w:spacing w:after="0"/>
        <w:rPr>
          <w:rFonts w:cs="Arial"/>
          <w:bCs/>
        </w:rPr>
      </w:pPr>
    </w:p>
    <w:p w14:paraId="028CD2E3" w14:textId="77777777" w:rsidR="002E2089" w:rsidRDefault="002E2089" w:rsidP="002E2089">
      <w:pPr>
        <w:spacing w:after="0"/>
        <w:contextualSpacing/>
        <w:rPr>
          <w:rFonts w:cs="Arial"/>
          <w:b/>
          <w:bCs/>
        </w:rPr>
      </w:pPr>
      <w:r w:rsidRPr="002E2089">
        <w:rPr>
          <w:rFonts w:cs="Arial"/>
          <w:b/>
          <w:bCs/>
        </w:rPr>
        <w:t>SAFE LIMITS FOR OPIOID PRESCRIBING</w:t>
      </w:r>
    </w:p>
    <w:p w14:paraId="0809A2D9" w14:textId="77777777" w:rsidR="002E2089" w:rsidRPr="002E2089" w:rsidRDefault="002E2089" w:rsidP="002E2089">
      <w:pPr>
        <w:spacing w:after="0"/>
        <w:contextualSpacing/>
        <w:rPr>
          <w:rFonts w:cs="Arial"/>
          <w:b/>
          <w:bCs/>
        </w:rPr>
      </w:pPr>
    </w:p>
    <w:p w14:paraId="58E256E0" w14:textId="48417200" w:rsidR="002E2089" w:rsidRDefault="002E2089" w:rsidP="002E2089">
      <w:pPr>
        <w:spacing w:after="0"/>
        <w:contextualSpacing/>
        <w:rPr>
          <w:rFonts w:cs="Arial"/>
          <w:bCs/>
        </w:rPr>
      </w:pPr>
      <w:r w:rsidRPr="002E2089">
        <w:rPr>
          <w:rFonts w:cs="Arial"/>
          <w:bCs/>
        </w:rPr>
        <w:t xml:space="preserve">The practice policy is </w:t>
      </w:r>
      <w:proofErr w:type="gramStart"/>
      <w:r w:rsidRPr="002E2089">
        <w:rPr>
          <w:rFonts w:cs="Arial"/>
          <w:bCs/>
        </w:rPr>
        <w:t>to not prescribe</w:t>
      </w:r>
      <w:proofErr w:type="gramEnd"/>
      <w:r w:rsidRPr="002E2089">
        <w:rPr>
          <w:rFonts w:cs="Arial"/>
          <w:bCs/>
        </w:rPr>
        <w:t xml:space="preserve"> more than an average daily morphine equivalent dose (MED) of 80</w:t>
      </w:r>
      <w:r w:rsidRPr="002E2089">
        <w:rPr>
          <w:rFonts w:cs="Arial" w:hint="eastAsia"/>
          <w:bCs/>
        </w:rPr>
        <w:t>–</w:t>
      </w:r>
      <w:r w:rsidRPr="002E2089">
        <w:rPr>
          <w:rFonts w:cs="Arial"/>
          <w:bCs/>
        </w:rPr>
        <w:t>100 mg</w:t>
      </w:r>
      <w:r>
        <w:rPr>
          <w:rFonts w:cs="Arial"/>
          <w:bCs/>
        </w:rPr>
        <w:t xml:space="preserve"> </w:t>
      </w:r>
      <w:r w:rsidRPr="002E2089">
        <w:rPr>
          <w:rFonts w:cs="Arial"/>
          <w:bCs/>
        </w:rPr>
        <w:t>without further validation. Most patient</w:t>
      </w:r>
      <w:r w:rsidRPr="002E2089">
        <w:rPr>
          <w:rFonts w:cs="Arial" w:hint="eastAsia"/>
          <w:bCs/>
        </w:rPr>
        <w:t>’</w:t>
      </w:r>
      <w:r w:rsidRPr="002E2089">
        <w:rPr>
          <w:rFonts w:cs="Arial"/>
          <w:bCs/>
        </w:rPr>
        <w:t xml:space="preserve">s pain </w:t>
      </w:r>
      <w:proofErr w:type="gramStart"/>
      <w:r w:rsidRPr="002E2089">
        <w:rPr>
          <w:rFonts w:cs="Arial"/>
          <w:bCs/>
        </w:rPr>
        <w:t>will be controlled</w:t>
      </w:r>
      <w:proofErr w:type="gramEnd"/>
      <w:r w:rsidRPr="002E2089">
        <w:rPr>
          <w:rFonts w:cs="Arial"/>
          <w:bCs/>
        </w:rPr>
        <w:t xml:space="preserve"> on MEDs far less than this. Prescribed opioids have</w:t>
      </w:r>
      <w:r>
        <w:rPr>
          <w:rFonts w:cs="Arial"/>
          <w:bCs/>
        </w:rPr>
        <w:t xml:space="preserve"> </w:t>
      </w:r>
      <w:r w:rsidRPr="002E2089">
        <w:rPr>
          <w:rFonts w:cs="Arial"/>
          <w:bCs/>
        </w:rPr>
        <w:t>accepted individual and a combined morphine equivalent threshold, after which the risk of adverse events significantly</w:t>
      </w:r>
      <w:r>
        <w:rPr>
          <w:rFonts w:cs="Arial"/>
          <w:bCs/>
        </w:rPr>
        <w:t xml:space="preserve"> </w:t>
      </w:r>
      <w:r w:rsidRPr="002E2089">
        <w:rPr>
          <w:rFonts w:cs="Arial"/>
          <w:bCs/>
        </w:rPr>
        <w:t>rises.</w:t>
      </w:r>
    </w:p>
    <w:p w14:paraId="493FE42C" w14:textId="77777777" w:rsidR="002E2089" w:rsidRPr="002E2089" w:rsidRDefault="002E2089" w:rsidP="002E2089">
      <w:pPr>
        <w:spacing w:after="0"/>
        <w:contextualSpacing/>
        <w:rPr>
          <w:rFonts w:cs="Arial"/>
          <w:bCs/>
        </w:rPr>
      </w:pPr>
    </w:p>
    <w:p w14:paraId="6CED6A4E" w14:textId="38B4173E" w:rsidR="002E2089" w:rsidRPr="002E2089" w:rsidRDefault="002E2089" w:rsidP="002E2089">
      <w:pPr>
        <w:spacing w:after="0"/>
        <w:contextualSpacing/>
        <w:rPr>
          <w:rFonts w:cs="Arial"/>
          <w:bCs/>
        </w:rPr>
      </w:pPr>
      <w:r w:rsidRPr="002E2089">
        <w:rPr>
          <w:rFonts w:cs="Arial"/>
          <w:bCs/>
        </w:rPr>
        <w:t xml:space="preserve">Opioids </w:t>
      </w:r>
      <w:proofErr w:type="gramStart"/>
      <w:r w:rsidRPr="002E2089">
        <w:rPr>
          <w:rFonts w:cs="Arial"/>
          <w:bCs/>
        </w:rPr>
        <w:t>should be reserved</w:t>
      </w:r>
      <w:proofErr w:type="gramEnd"/>
      <w:r w:rsidRPr="002E2089">
        <w:rPr>
          <w:rFonts w:cs="Arial"/>
          <w:bCs/>
        </w:rPr>
        <w:t xml:space="preserve"> for patients who have not responded to non-opioid treatments and who have defined</w:t>
      </w:r>
      <w:r>
        <w:rPr>
          <w:rFonts w:cs="Arial"/>
          <w:bCs/>
        </w:rPr>
        <w:t xml:space="preserve"> </w:t>
      </w:r>
      <w:r w:rsidRPr="002E2089">
        <w:rPr>
          <w:rFonts w:cs="Arial"/>
          <w:bCs/>
        </w:rPr>
        <w:t>somatic or neuropathic pain conditions for which opioids have been shown to be effective.</w:t>
      </w:r>
    </w:p>
    <w:p w14:paraId="2F18381A" w14:textId="77777777" w:rsidR="002E2089" w:rsidRDefault="002E2089" w:rsidP="002E2089">
      <w:pPr>
        <w:spacing w:after="0"/>
        <w:contextualSpacing/>
        <w:rPr>
          <w:rFonts w:cs="Arial"/>
          <w:bCs/>
        </w:rPr>
      </w:pPr>
    </w:p>
    <w:p w14:paraId="6B141B75" w14:textId="77777777" w:rsidR="002E2089" w:rsidRPr="002E2089" w:rsidRDefault="002E2089" w:rsidP="002E2089">
      <w:pPr>
        <w:spacing w:after="0"/>
        <w:contextualSpacing/>
        <w:rPr>
          <w:rFonts w:cs="Arial"/>
          <w:bCs/>
        </w:rPr>
      </w:pPr>
      <w:r w:rsidRPr="002E2089">
        <w:rPr>
          <w:rFonts w:cs="Arial"/>
          <w:bCs/>
        </w:rPr>
        <w:t>Before prescribing an opioid:</w:t>
      </w:r>
    </w:p>
    <w:p w14:paraId="7D6E51B5" w14:textId="6B0AE795" w:rsidR="002E2089" w:rsidRPr="002E2089" w:rsidRDefault="002E2089" w:rsidP="002E2089">
      <w:pPr>
        <w:pStyle w:val="ListParagraph"/>
        <w:numPr>
          <w:ilvl w:val="0"/>
          <w:numId w:val="26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 xml:space="preserve">A diagnosis of the source of the pain </w:t>
      </w:r>
      <w:proofErr w:type="gramStart"/>
      <w:r w:rsidRPr="002E2089">
        <w:rPr>
          <w:rFonts w:cs="Arial"/>
          <w:bCs/>
        </w:rPr>
        <w:t>must be made</w:t>
      </w:r>
      <w:proofErr w:type="gramEnd"/>
      <w:r w:rsidRPr="002E2089">
        <w:rPr>
          <w:rFonts w:cs="Arial"/>
          <w:bCs/>
        </w:rPr>
        <w:t>.</w:t>
      </w:r>
    </w:p>
    <w:p w14:paraId="0C4196DA" w14:textId="3CD6BB5A" w:rsidR="002E2089" w:rsidRPr="002E2089" w:rsidRDefault="002E2089" w:rsidP="002E2089">
      <w:pPr>
        <w:pStyle w:val="ListParagraph"/>
        <w:numPr>
          <w:ilvl w:val="0"/>
          <w:numId w:val="26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Simple analgesia and other appropriate treatments should have been trialled.</w:t>
      </w:r>
    </w:p>
    <w:p w14:paraId="4B44D3AE" w14:textId="28426204" w:rsidR="002E2089" w:rsidRPr="002E2089" w:rsidRDefault="002E2089" w:rsidP="002E2089">
      <w:pPr>
        <w:pStyle w:val="ListParagraph"/>
        <w:numPr>
          <w:ilvl w:val="0"/>
          <w:numId w:val="26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 xml:space="preserve">An opioid-risk tool </w:t>
      </w:r>
      <w:proofErr w:type="gramStart"/>
      <w:r w:rsidRPr="002E2089">
        <w:rPr>
          <w:rFonts w:cs="Arial"/>
          <w:bCs/>
        </w:rPr>
        <w:t>should be used</w:t>
      </w:r>
      <w:proofErr w:type="gramEnd"/>
      <w:r w:rsidRPr="002E2089">
        <w:rPr>
          <w:rFonts w:cs="Arial"/>
          <w:bCs/>
        </w:rPr>
        <w:t xml:space="preserve"> to determine if the patient is at risk of opioid misuse.</w:t>
      </w:r>
    </w:p>
    <w:p w14:paraId="2A7993AD" w14:textId="248E1577" w:rsidR="002E2089" w:rsidRPr="002E2089" w:rsidRDefault="002E2089" w:rsidP="002E2089">
      <w:pPr>
        <w:pStyle w:val="ListParagraph"/>
        <w:numPr>
          <w:ilvl w:val="0"/>
          <w:numId w:val="26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 xml:space="preserve">A contract defining treatment goals, length of treatment and an exit strategy </w:t>
      </w:r>
      <w:proofErr w:type="gramStart"/>
      <w:r w:rsidRPr="002E2089">
        <w:rPr>
          <w:rFonts w:cs="Arial"/>
          <w:bCs/>
        </w:rPr>
        <w:t>should be signed</w:t>
      </w:r>
      <w:proofErr w:type="gramEnd"/>
      <w:r w:rsidRPr="002E2089">
        <w:rPr>
          <w:rFonts w:cs="Arial"/>
          <w:bCs/>
        </w:rPr>
        <w:t xml:space="preserve"> with the patient.</w:t>
      </w:r>
    </w:p>
    <w:p w14:paraId="1523290B" w14:textId="5E048F65" w:rsidR="002E2089" w:rsidRPr="002E2089" w:rsidRDefault="002E2089" w:rsidP="002E2089">
      <w:pPr>
        <w:pStyle w:val="ListParagraph"/>
        <w:numPr>
          <w:ilvl w:val="0"/>
          <w:numId w:val="26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There should be regular assessment of the patient using the 5As.</w:t>
      </w:r>
    </w:p>
    <w:p w14:paraId="4FED4B1E" w14:textId="77777777" w:rsidR="002E2089" w:rsidRDefault="002E2089" w:rsidP="002E2089">
      <w:pPr>
        <w:spacing w:after="0"/>
        <w:contextualSpacing/>
        <w:rPr>
          <w:rFonts w:cs="Arial"/>
          <w:bCs/>
        </w:rPr>
      </w:pPr>
    </w:p>
    <w:p w14:paraId="00EA52A2" w14:textId="77777777" w:rsidR="002E2089" w:rsidRPr="002E2089" w:rsidRDefault="002E2089" w:rsidP="002E2089">
      <w:pPr>
        <w:spacing w:after="0"/>
        <w:contextualSpacing/>
        <w:rPr>
          <w:rFonts w:cs="Arial"/>
          <w:b/>
          <w:bCs/>
        </w:rPr>
      </w:pPr>
      <w:r w:rsidRPr="002E2089">
        <w:rPr>
          <w:rFonts w:cs="Arial"/>
          <w:b/>
          <w:bCs/>
        </w:rPr>
        <w:t>Dosing thresholds</w:t>
      </w:r>
    </w:p>
    <w:p w14:paraId="3870B6D7" w14:textId="54A510FA" w:rsidR="002E2089" w:rsidRPr="002E2089" w:rsidRDefault="002E2089" w:rsidP="002E2089">
      <w:pPr>
        <w:pStyle w:val="ListParagraph"/>
        <w:numPr>
          <w:ilvl w:val="0"/>
          <w:numId w:val="24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The prescriber should routinely evaluate the safety and effectiveness of opioid therapy for chronic non-cancer pain.</w:t>
      </w:r>
    </w:p>
    <w:p w14:paraId="7C7A4DF8" w14:textId="5ACA8DD2" w:rsidR="002E2089" w:rsidRPr="002E2089" w:rsidRDefault="002E2089" w:rsidP="002E2089">
      <w:pPr>
        <w:pStyle w:val="ListParagraph"/>
        <w:numPr>
          <w:ilvl w:val="0"/>
          <w:numId w:val="24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Assessing the effectiveness of opioid therapy should include tracking and documenting both functional improvement and pain relief.</w:t>
      </w:r>
    </w:p>
    <w:p w14:paraId="43BF2A94" w14:textId="7C6A0CF1" w:rsidR="002E2089" w:rsidRPr="002E2089" w:rsidRDefault="002E2089" w:rsidP="002E2089">
      <w:pPr>
        <w:pStyle w:val="ListParagraph"/>
        <w:numPr>
          <w:ilvl w:val="0"/>
          <w:numId w:val="24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Compared with patients receiving 1</w:t>
      </w:r>
      <w:r w:rsidRPr="002E2089">
        <w:rPr>
          <w:rFonts w:cs="Arial" w:hint="eastAsia"/>
          <w:bCs/>
        </w:rPr>
        <w:t>–</w:t>
      </w:r>
      <w:r w:rsidRPr="002E2089">
        <w:rPr>
          <w:rFonts w:cs="Arial"/>
          <w:bCs/>
        </w:rPr>
        <w:t>20 mg per day of opioids, patients receiving 50</w:t>
      </w:r>
      <w:r w:rsidRPr="002E2089">
        <w:rPr>
          <w:rFonts w:cs="Arial" w:hint="eastAsia"/>
          <w:bCs/>
        </w:rPr>
        <w:t>–</w:t>
      </w:r>
      <w:r w:rsidRPr="002E2089">
        <w:rPr>
          <w:rFonts w:cs="Arial"/>
          <w:bCs/>
        </w:rPr>
        <w:t>99 mg per day had a 3.7-fold increase in overdose risk. Patients receiving 100 mg per day or more had an 8.9-fold increase in overdose risk. Most overdoses were medically serious, and 12% were fatal.</w:t>
      </w:r>
    </w:p>
    <w:p w14:paraId="4EB4145D" w14:textId="77777777" w:rsidR="002E2089" w:rsidRDefault="002E2089" w:rsidP="002E2089">
      <w:pPr>
        <w:spacing w:after="0"/>
        <w:contextualSpacing/>
        <w:rPr>
          <w:rFonts w:cs="Arial"/>
          <w:bCs/>
        </w:rPr>
      </w:pPr>
    </w:p>
    <w:p w14:paraId="553B7AF9" w14:textId="20413388" w:rsidR="002E2089" w:rsidRPr="002E2089" w:rsidRDefault="002E2089" w:rsidP="002E2089">
      <w:pPr>
        <w:spacing w:after="0"/>
        <w:contextualSpacing/>
        <w:rPr>
          <w:rFonts w:cs="Arial"/>
          <w:bCs/>
        </w:rPr>
      </w:pPr>
      <w:r w:rsidRPr="002E2089">
        <w:rPr>
          <w:rFonts w:cs="Arial"/>
          <w:bCs/>
        </w:rPr>
        <w:t>1. If &lt;100 mg MED:</w:t>
      </w:r>
    </w:p>
    <w:p w14:paraId="77D388D8" w14:textId="50D21478" w:rsidR="002E2089" w:rsidRPr="002E2089" w:rsidRDefault="002E2089" w:rsidP="002E2089">
      <w:pPr>
        <w:pStyle w:val="ListParagraph"/>
        <w:numPr>
          <w:ilvl w:val="0"/>
          <w:numId w:val="22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No assistance from a senior general practitioner or a pain management consultant needed if the prescriber is documenting sustained improvement in both function and pain.</w:t>
      </w:r>
    </w:p>
    <w:p w14:paraId="0935BFA2" w14:textId="53170D78" w:rsidR="002E2089" w:rsidRPr="002E2089" w:rsidRDefault="002E2089" w:rsidP="002E2089">
      <w:pPr>
        <w:pStyle w:val="ListParagraph"/>
        <w:numPr>
          <w:ilvl w:val="0"/>
          <w:numId w:val="22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Consider getting assistance if frequent adverse effects or lack of response is evident in order to address:</w:t>
      </w:r>
    </w:p>
    <w:p w14:paraId="6E055263" w14:textId="14FC432C" w:rsidR="002E2089" w:rsidRPr="002E2089" w:rsidRDefault="002E2089" w:rsidP="002E2089">
      <w:pPr>
        <w:pStyle w:val="ListParagraph"/>
        <w:numPr>
          <w:ilvl w:val="0"/>
          <w:numId w:val="17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evidence of undiagnosed conditions</w:t>
      </w:r>
    </w:p>
    <w:p w14:paraId="5D368411" w14:textId="2C9CC6B3" w:rsidR="002E2089" w:rsidRPr="002E2089" w:rsidRDefault="002E2089" w:rsidP="002E2089">
      <w:pPr>
        <w:pStyle w:val="ListParagraph"/>
        <w:numPr>
          <w:ilvl w:val="0"/>
          <w:numId w:val="17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presence of significant psychological condition affecting treatment</w:t>
      </w:r>
    </w:p>
    <w:p w14:paraId="0F7573CB" w14:textId="776F6CB1" w:rsidR="002E2089" w:rsidRDefault="002E2089" w:rsidP="002E2089">
      <w:pPr>
        <w:pStyle w:val="ListParagraph"/>
        <w:numPr>
          <w:ilvl w:val="0"/>
          <w:numId w:val="17"/>
        </w:numPr>
        <w:spacing w:after="0"/>
        <w:rPr>
          <w:rFonts w:cs="Arial"/>
          <w:bCs/>
        </w:rPr>
      </w:pPr>
      <w:proofErr w:type="gramStart"/>
      <w:r w:rsidRPr="002E2089">
        <w:rPr>
          <w:rFonts w:cs="Arial"/>
          <w:bCs/>
        </w:rPr>
        <w:t>potential</w:t>
      </w:r>
      <w:proofErr w:type="gramEnd"/>
      <w:r w:rsidRPr="002E2089">
        <w:rPr>
          <w:rFonts w:cs="Arial"/>
          <w:bCs/>
        </w:rPr>
        <w:t xml:space="preserve"> alternative treatments to reduce or discontinue use of opioids.</w:t>
      </w:r>
    </w:p>
    <w:p w14:paraId="3704F6C5" w14:textId="77777777" w:rsidR="002E2089" w:rsidRPr="002E2089" w:rsidRDefault="002E2089" w:rsidP="002E2089">
      <w:pPr>
        <w:pStyle w:val="ListParagraph"/>
        <w:spacing w:after="0"/>
        <w:rPr>
          <w:rFonts w:cs="Arial"/>
          <w:bCs/>
        </w:rPr>
      </w:pPr>
    </w:p>
    <w:p w14:paraId="27E7F0A3" w14:textId="1CF9F86A" w:rsidR="002E2089" w:rsidRPr="002E2089" w:rsidRDefault="002E2089" w:rsidP="002E2089">
      <w:pPr>
        <w:spacing w:after="0"/>
        <w:contextualSpacing/>
        <w:rPr>
          <w:rFonts w:cs="Arial"/>
          <w:bCs/>
        </w:rPr>
      </w:pPr>
      <w:r w:rsidRPr="002E2089">
        <w:rPr>
          <w:rFonts w:cs="Arial"/>
          <w:bCs/>
        </w:rPr>
        <w:t xml:space="preserve">2. </w:t>
      </w:r>
      <w:r w:rsidRPr="002E2089">
        <w:rPr>
          <w:rFonts w:cs="Arial"/>
          <w:b/>
          <w:bCs/>
          <w:i/>
          <w:iCs/>
        </w:rPr>
        <w:t>Before</w:t>
      </w:r>
      <w:r w:rsidRPr="002E2089">
        <w:rPr>
          <w:rFonts w:cs="Arial"/>
          <w:bCs/>
          <w:i/>
          <w:iCs/>
        </w:rPr>
        <w:t xml:space="preserve"> </w:t>
      </w:r>
      <w:r w:rsidRPr="002E2089">
        <w:rPr>
          <w:rFonts w:cs="Arial"/>
          <w:bCs/>
        </w:rPr>
        <w:t>exceeding 100 mg MED per day threshold:</w:t>
      </w:r>
    </w:p>
    <w:p w14:paraId="08077868" w14:textId="0F7BF967" w:rsidR="002E2089" w:rsidRPr="002E2089" w:rsidRDefault="002E2089" w:rsidP="002E2089">
      <w:pPr>
        <w:pStyle w:val="ListParagraph"/>
        <w:numPr>
          <w:ilvl w:val="0"/>
          <w:numId w:val="21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Seek assistance from a senior general practitioner or pain management consultant to address:</w:t>
      </w:r>
    </w:p>
    <w:p w14:paraId="21A2E36F" w14:textId="2EB56EA4" w:rsidR="002E2089" w:rsidRPr="002E2089" w:rsidRDefault="002E2089" w:rsidP="002E2089">
      <w:pPr>
        <w:pStyle w:val="ListParagraph"/>
        <w:numPr>
          <w:ilvl w:val="0"/>
          <w:numId w:val="19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potential alternative treatments to opioids</w:t>
      </w:r>
    </w:p>
    <w:p w14:paraId="00FBCEE7" w14:textId="080BAD05" w:rsidR="002E2089" w:rsidRPr="002E2089" w:rsidRDefault="002E2089" w:rsidP="002E2089">
      <w:pPr>
        <w:pStyle w:val="ListParagraph"/>
        <w:numPr>
          <w:ilvl w:val="0"/>
          <w:numId w:val="19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the risks and benefits of a possible trial with opioid dose above 100 mg MED/d</w:t>
      </w:r>
    </w:p>
    <w:p w14:paraId="573D2286" w14:textId="5826BA89" w:rsidR="002E2089" w:rsidRPr="002E2089" w:rsidRDefault="002E2089" w:rsidP="002E2089">
      <w:pPr>
        <w:pStyle w:val="ListParagraph"/>
        <w:numPr>
          <w:ilvl w:val="0"/>
          <w:numId w:val="19"/>
        </w:numPr>
        <w:spacing w:after="0"/>
        <w:rPr>
          <w:rFonts w:cs="Arial"/>
          <w:bCs/>
        </w:rPr>
      </w:pPr>
      <w:r w:rsidRPr="002E2089">
        <w:rPr>
          <w:rFonts w:cs="Arial"/>
          <w:bCs/>
        </w:rPr>
        <w:t>the most appropriate way to document improvement in function and pain</w:t>
      </w:r>
    </w:p>
    <w:p w14:paraId="6ABF054E" w14:textId="531047E9" w:rsidR="006D1284" w:rsidRPr="002E2089" w:rsidRDefault="002E2089" w:rsidP="002E2089">
      <w:pPr>
        <w:pStyle w:val="ListParagraph"/>
        <w:numPr>
          <w:ilvl w:val="0"/>
          <w:numId w:val="19"/>
        </w:numPr>
        <w:spacing w:after="0"/>
        <w:rPr>
          <w:rFonts w:eastAsia="Times New Roman" w:cs="Arial"/>
          <w:color w:val="0070C0"/>
          <w:sz w:val="32"/>
          <w:szCs w:val="32"/>
          <w:lang w:val="en-GB" w:eastAsia="en-AU"/>
        </w:rPr>
      </w:pPr>
      <w:proofErr w:type="gramStart"/>
      <w:r w:rsidRPr="002E2089">
        <w:rPr>
          <w:rFonts w:cs="Arial"/>
          <w:bCs/>
        </w:rPr>
        <w:t>a</w:t>
      </w:r>
      <w:proofErr w:type="gramEnd"/>
      <w:r w:rsidRPr="002E2089">
        <w:rPr>
          <w:rFonts w:cs="Arial"/>
          <w:bCs/>
        </w:rPr>
        <w:t xml:space="preserve"> possible need for consultation from other specialists.</w:t>
      </w:r>
    </w:p>
    <w:p w14:paraId="24217BB5" w14:textId="77777777" w:rsidR="002C4C1B" w:rsidRDefault="002C4C1B" w:rsidP="006D1284">
      <w:pPr>
        <w:spacing w:after="0"/>
        <w:contextualSpacing/>
        <w:rPr>
          <w:rFonts w:eastAsia="Times New Roman" w:cs="Arial"/>
          <w:color w:val="0070C0"/>
          <w:sz w:val="32"/>
          <w:szCs w:val="32"/>
          <w:lang w:val="en-GB" w:eastAsia="en-AU"/>
        </w:rPr>
      </w:pPr>
    </w:p>
    <w:p w14:paraId="1D17FAF5" w14:textId="77777777" w:rsidR="005C77C6" w:rsidRDefault="005C77C6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177A783D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161640EE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B9EB94C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83AFB1D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B6BEC3B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3DD49E3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6B210BEB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85E5602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973DF40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06F7295E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3ACC141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6C362CFE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0A3A724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1A16AF6C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0968C5ED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1C80134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61FF521A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E6F712F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A1B3DF9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0E918345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61DE6078" w14:textId="77777777" w:rsidR="002E2089" w:rsidRDefault="002E2089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666C7280" w14:textId="77777777" w:rsidR="005C77C6" w:rsidRPr="0002280E" w:rsidRDefault="005C77C6" w:rsidP="005C77C6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The information set out in this publication is current at the date of first publication and </w:t>
      </w:r>
      <w:proofErr w:type="gramStart"/>
      <w:r w:rsidRPr="0002280E">
        <w:rPr>
          <w:rFonts w:cs="Arial"/>
          <w:sz w:val="16"/>
          <w:szCs w:val="16"/>
        </w:rPr>
        <w:t>is intended</w:t>
      </w:r>
      <w:proofErr w:type="gramEnd"/>
      <w:r w:rsidRPr="0002280E">
        <w:rPr>
          <w:rFonts w:cs="Arial"/>
          <w:sz w:val="16"/>
          <w:szCs w:val="16"/>
        </w:rPr>
        <w:t xml:space="preserve">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697174A9" w14:textId="77777777" w:rsidR="005C77C6" w:rsidRPr="0002280E" w:rsidRDefault="005C77C6" w:rsidP="005C77C6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40956145" w14:textId="022B5F11" w:rsidR="005C77C6" w:rsidRPr="00C65BF5" w:rsidRDefault="005C77C6" w:rsidP="005C77C6">
      <w:pPr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© The Royal Australian College of General Practitioners </w:t>
      </w:r>
      <w:r w:rsidR="00C65BF5" w:rsidRPr="00C65BF5">
        <w:rPr>
          <w:rFonts w:cs="Arial"/>
          <w:sz w:val="16"/>
          <w:szCs w:val="16"/>
        </w:rPr>
        <w:t>[2019</w:t>
      </w:r>
      <w:r w:rsidRPr="00C65BF5">
        <w:rPr>
          <w:rFonts w:cs="Arial"/>
          <w:sz w:val="16"/>
          <w:szCs w:val="16"/>
        </w:rPr>
        <w:t>]</w:t>
      </w:r>
    </w:p>
    <w:p w14:paraId="3DC160CB" w14:textId="77777777" w:rsidR="005C77C6" w:rsidRPr="0002280E" w:rsidRDefault="005C77C6" w:rsidP="005C77C6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3EAB2596" w14:textId="77777777" w:rsidR="005C77C6" w:rsidRDefault="002E2089" w:rsidP="005C77C6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="005C77C6" w:rsidRPr="000871B9">
          <w:rPr>
            <w:rFonts w:cs="Arial"/>
            <w:sz w:val="16"/>
            <w:szCs w:val="16"/>
          </w:rPr>
          <w:t>This</w:t>
        </w:r>
      </w:hyperlink>
      <w:r w:rsidR="005C77C6" w:rsidRPr="000871B9">
        <w:rPr>
          <w:rFonts w:cs="Arial"/>
          <w:sz w:val="16"/>
          <w:szCs w:val="16"/>
        </w:rPr>
        <w:t xml:space="preserve"> resource </w:t>
      </w:r>
      <w:proofErr w:type="gramStart"/>
      <w:r w:rsidR="005C77C6" w:rsidRPr="000871B9">
        <w:rPr>
          <w:rFonts w:cs="Arial"/>
          <w:sz w:val="16"/>
          <w:szCs w:val="16"/>
        </w:rPr>
        <w:t>is provided</w:t>
      </w:r>
      <w:proofErr w:type="gramEnd"/>
      <w:r w:rsidR="005C77C6" w:rsidRPr="000871B9">
        <w:rPr>
          <w:rFonts w:cs="Arial"/>
          <w:sz w:val="16"/>
          <w:szCs w:val="16"/>
        </w:rPr>
        <w:t xml:space="preserve"> under licence by the RACGP. Full terms are available at </w:t>
      </w:r>
      <w:hyperlink r:id="rId10" w:history="1">
        <w:r w:rsidR="005C77C6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5C77C6">
        <w:rPr>
          <w:rFonts w:cs="Arial"/>
          <w:sz w:val="16"/>
          <w:szCs w:val="16"/>
        </w:rPr>
        <w:t xml:space="preserve"> </w:t>
      </w:r>
    </w:p>
    <w:p w14:paraId="46CDBD2A" w14:textId="77777777" w:rsidR="005C77C6" w:rsidRDefault="005C77C6" w:rsidP="005C77C6">
      <w:pPr>
        <w:spacing w:after="0" w:line="240" w:lineRule="auto"/>
        <w:rPr>
          <w:rFonts w:cs="Arial"/>
          <w:sz w:val="16"/>
          <w:szCs w:val="16"/>
        </w:rPr>
      </w:pPr>
    </w:p>
    <w:p w14:paraId="5DDECDA5" w14:textId="77777777" w:rsidR="005C77C6" w:rsidRPr="0002280E" w:rsidRDefault="005C77C6" w:rsidP="005C77C6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68AAD35B" w14:textId="40CF28A2" w:rsidR="00062BE7" w:rsidRPr="006D1284" w:rsidRDefault="00062BE7" w:rsidP="006D1284">
      <w:bookmarkStart w:id="0" w:name="_GoBack"/>
      <w:bookmarkEnd w:id="0"/>
    </w:p>
    <w:sectPr w:rsidR="00062BE7" w:rsidRPr="006D1284" w:rsidSect="001D0673">
      <w:headerReference w:type="default" r:id="rId11"/>
      <w:footerReference w:type="default" r:id="rId12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07237BFF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0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2E2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5FF"/>
    <w:multiLevelType w:val="hybridMultilevel"/>
    <w:tmpl w:val="26DE88A0"/>
    <w:lvl w:ilvl="0" w:tplc="7EEA616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370E"/>
    <w:multiLevelType w:val="hybridMultilevel"/>
    <w:tmpl w:val="974A6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874"/>
    <w:multiLevelType w:val="hybridMultilevel"/>
    <w:tmpl w:val="7CE4B3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1F4604"/>
    <w:multiLevelType w:val="hybridMultilevel"/>
    <w:tmpl w:val="A82E7FC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224EE"/>
    <w:multiLevelType w:val="hybridMultilevel"/>
    <w:tmpl w:val="65CCD96C"/>
    <w:lvl w:ilvl="0" w:tplc="58982E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214C5"/>
    <w:multiLevelType w:val="hybridMultilevel"/>
    <w:tmpl w:val="E03880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670320"/>
    <w:multiLevelType w:val="hybridMultilevel"/>
    <w:tmpl w:val="1EB4642E"/>
    <w:lvl w:ilvl="0" w:tplc="8FE006F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758D6"/>
    <w:multiLevelType w:val="hybridMultilevel"/>
    <w:tmpl w:val="07FE11D0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90254"/>
    <w:multiLevelType w:val="hybridMultilevel"/>
    <w:tmpl w:val="A79ED9FA"/>
    <w:lvl w:ilvl="0" w:tplc="C2582DF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D44D1"/>
    <w:multiLevelType w:val="hybridMultilevel"/>
    <w:tmpl w:val="81423F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666DC2"/>
    <w:multiLevelType w:val="hybridMultilevel"/>
    <w:tmpl w:val="EE5A7AB6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E3F36"/>
    <w:multiLevelType w:val="hybridMultilevel"/>
    <w:tmpl w:val="990CD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3217C"/>
    <w:multiLevelType w:val="hybridMultilevel"/>
    <w:tmpl w:val="72F2396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C686648"/>
    <w:multiLevelType w:val="hybridMultilevel"/>
    <w:tmpl w:val="4A88A9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902118"/>
    <w:multiLevelType w:val="hybridMultilevel"/>
    <w:tmpl w:val="91F60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10CBE"/>
    <w:multiLevelType w:val="hybridMultilevel"/>
    <w:tmpl w:val="44363666"/>
    <w:lvl w:ilvl="0" w:tplc="DD3600EA">
      <w:numFmt w:val="bullet"/>
      <w:lvlText w:val="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676327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883615"/>
    <w:multiLevelType w:val="hybridMultilevel"/>
    <w:tmpl w:val="7C064EAA"/>
    <w:lvl w:ilvl="0" w:tplc="ABB8299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864F4"/>
    <w:multiLevelType w:val="hybridMultilevel"/>
    <w:tmpl w:val="8152C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D7474"/>
    <w:multiLevelType w:val="hybridMultilevel"/>
    <w:tmpl w:val="CB783DA2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E31C93"/>
    <w:multiLevelType w:val="hybridMultilevel"/>
    <w:tmpl w:val="B450F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C97A39"/>
    <w:multiLevelType w:val="hybridMultilevel"/>
    <w:tmpl w:val="49EC69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C3373"/>
    <w:multiLevelType w:val="hybridMultilevel"/>
    <w:tmpl w:val="EC1E0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D6932"/>
    <w:multiLevelType w:val="hybridMultilevel"/>
    <w:tmpl w:val="DE6EAB98"/>
    <w:lvl w:ilvl="0" w:tplc="DD3600EA">
      <w:numFmt w:val="bullet"/>
      <w:lvlText w:val=""/>
      <w:lvlJc w:val="center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9440C"/>
    <w:multiLevelType w:val="hybridMultilevel"/>
    <w:tmpl w:val="A912C144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24E25"/>
    <w:multiLevelType w:val="hybridMultilevel"/>
    <w:tmpl w:val="9B4C4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F0061E"/>
    <w:multiLevelType w:val="hybridMultilevel"/>
    <w:tmpl w:val="7570E9A2"/>
    <w:lvl w:ilvl="0" w:tplc="000ACD6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F944BF"/>
    <w:multiLevelType w:val="multilevel"/>
    <w:tmpl w:val="E49E21A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sz w:val="24"/>
        <w:szCs w:val="24"/>
      </w:rPr>
    </w:lvl>
    <w:lvl w:ilvl="1">
      <w:start w:val="1"/>
      <w:numFmt w:val="none"/>
      <w:lvlText w:val="8A"/>
      <w:lvlJc w:val="left"/>
      <w:pPr>
        <w:tabs>
          <w:tab w:val="num" w:pos="850"/>
        </w:tabs>
        <w:ind w:left="850" w:hanging="850"/>
      </w:pPr>
    </w:lvl>
    <w:lvl w:ilvl="2">
      <w:start w:val="1"/>
      <w:numFmt w:val="lowerLetter"/>
      <w:lvlRestart w:val="0"/>
      <w:lvlText w:val="(%3)"/>
      <w:lvlJc w:val="left"/>
      <w:pPr>
        <w:tabs>
          <w:tab w:val="num" w:pos="2553"/>
        </w:tabs>
        <w:ind w:left="2553" w:hanging="851"/>
      </w:pPr>
      <w:rPr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2170"/>
        </w:tabs>
        <w:ind w:left="2170" w:hanging="850"/>
      </w:pPr>
    </w:lvl>
    <w:lvl w:ilvl="4">
      <w:start w:val="1"/>
      <w:numFmt w:val="upperLetter"/>
      <w:lvlText w:val="(%5)"/>
      <w:lvlJc w:val="left"/>
      <w:pPr>
        <w:tabs>
          <w:tab w:val="num" w:pos="3829"/>
        </w:tabs>
        <w:ind w:left="3829" w:hanging="851"/>
      </w:pPr>
    </w:lvl>
    <w:lvl w:ilvl="5">
      <w:start w:val="4"/>
      <w:numFmt w:val="decimal"/>
      <w:lvlRestart w:val="2"/>
      <w:lvlText w:val="(%6)"/>
      <w:lvlJc w:val="left"/>
      <w:pPr>
        <w:tabs>
          <w:tab w:val="num" w:pos="936"/>
        </w:tabs>
        <w:ind w:left="936" w:hanging="510"/>
      </w:pPr>
    </w:lvl>
    <w:lvl w:ilvl="6">
      <w:start w:val="1"/>
      <w:numFmt w:val="upperLetter"/>
      <w:lvlText w:val="(%6%7)"/>
      <w:lvlJc w:val="left"/>
      <w:pPr>
        <w:tabs>
          <w:tab w:val="num" w:pos="850"/>
        </w:tabs>
        <w:ind w:left="850" w:hanging="51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67"/>
        </w:tabs>
        <w:ind w:left="1582" w:hanging="1582"/>
      </w:pPr>
    </w:lvl>
  </w:abstractNum>
  <w:num w:numId="1">
    <w:abstractNumId w:val="24"/>
  </w:num>
  <w:num w:numId="2">
    <w:abstractNumId w:val="14"/>
  </w:num>
  <w:num w:numId="3">
    <w:abstractNumId w:val="18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4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"/>
  </w:num>
  <w:num w:numId="7">
    <w:abstractNumId w:val="21"/>
  </w:num>
  <w:num w:numId="8">
    <w:abstractNumId w:val="20"/>
  </w:num>
  <w:num w:numId="9">
    <w:abstractNumId w:val="11"/>
  </w:num>
  <w:num w:numId="10">
    <w:abstractNumId w:val="17"/>
  </w:num>
  <w:num w:numId="11">
    <w:abstractNumId w:val="2"/>
  </w:num>
  <w:num w:numId="12">
    <w:abstractNumId w:val="25"/>
  </w:num>
  <w:num w:numId="13">
    <w:abstractNumId w:val="10"/>
  </w:num>
  <w:num w:numId="14">
    <w:abstractNumId w:val="7"/>
  </w:num>
  <w:num w:numId="15">
    <w:abstractNumId w:val="23"/>
  </w:num>
  <w:num w:numId="16">
    <w:abstractNumId w:val="3"/>
  </w:num>
  <w:num w:numId="17">
    <w:abstractNumId w:val="15"/>
  </w:num>
  <w:num w:numId="18">
    <w:abstractNumId w:val="8"/>
  </w:num>
  <w:num w:numId="19">
    <w:abstractNumId w:val="22"/>
  </w:num>
  <w:num w:numId="20">
    <w:abstractNumId w:val="0"/>
  </w:num>
  <w:num w:numId="21">
    <w:abstractNumId w:val="5"/>
  </w:num>
  <w:num w:numId="22">
    <w:abstractNumId w:val="13"/>
  </w:num>
  <w:num w:numId="23">
    <w:abstractNumId w:val="6"/>
  </w:num>
  <w:num w:numId="24">
    <w:abstractNumId w:val="12"/>
  </w:num>
  <w:num w:numId="25">
    <w:abstractNumId w:val="16"/>
  </w:num>
  <w:num w:numId="26">
    <w:abstractNumId w:val="9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62BE7"/>
    <w:rsid w:val="00120180"/>
    <w:rsid w:val="001D0673"/>
    <w:rsid w:val="002C4C1B"/>
    <w:rsid w:val="002E2089"/>
    <w:rsid w:val="00326686"/>
    <w:rsid w:val="003736FB"/>
    <w:rsid w:val="003A7CE5"/>
    <w:rsid w:val="004416A5"/>
    <w:rsid w:val="00465E70"/>
    <w:rsid w:val="004A430C"/>
    <w:rsid w:val="005B1E07"/>
    <w:rsid w:val="005C77C6"/>
    <w:rsid w:val="00670085"/>
    <w:rsid w:val="006D1284"/>
    <w:rsid w:val="0071358B"/>
    <w:rsid w:val="007A0E46"/>
    <w:rsid w:val="008168BD"/>
    <w:rsid w:val="008509BF"/>
    <w:rsid w:val="008C7DFE"/>
    <w:rsid w:val="00A4502D"/>
    <w:rsid w:val="00BF419D"/>
    <w:rsid w:val="00C65BF5"/>
    <w:rsid w:val="00E24909"/>
    <w:rsid w:val="00E94D6E"/>
    <w:rsid w:val="00FC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Mahala Boughton</cp:lastModifiedBy>
  <cp:revision>3</cp:revision>
  <dcterms:created xsi:type="dcterms:W3CDTF">2019-07-02T01:52:00Z</dcterms:created>
  <dcterms:modified xsi:type="dcterms:W3CDTF">2019-07-02T01:58:00Z</dcterms:modified>
</cp:coreProperties>
</file>