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88824" w14:textId="3E114E5F" w:rsidR="002C4C1B" w:rsidRDefault="00E42E04" w:rsidP="002C4C1B">
      <w:pPr>
        <w:rPr>
          <w:rFonts w:ascii="Georgia" w:hAnsi="Georgia" w:cs="Adobe Devanagari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Georgia" w:hAnsi="Georgia" w:cs="Adobe Devanagari"/>
          <w:i/>
          <w:color w:val="000000" w:themeColor="text1"/>
          <w:sz w:val="32"/>
          <w:szCs w:val="32"/>
        </w:rPr>
        <w:t>Restriction of prescribing rights for drugs of dependence practice policy template</w:t>
      </w:r>
    </w:p>
    <w:p w14:paraId="0A82AC92" w14:textId="619218AE" w:rsidR="005D3E10" w:rsidRDefault="005D3E10" w:rsidP="002C4C1B">
      <w:pPr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 xml:space="preserve">Purpose: </w:t>
      </w:r>
    </w:p>
    <w:p w14:paraId="111BCFE8" w14:textId="29326F5F" w:rsidR="002C4C1B" w:rsidRDefault="002C4C1B" w:rsidP="002C4C1B">
      <w:pPr>
        <w:rPr>
          <w:rFonts w:cs="Arial"/>
          <w:color w:val="000000" w:themeColor="text1"/>
          <w:szCs w:val="20"/>
        </w:rPr>
      </w:pPr>
      <w:r w:rsidRPr="00C01661">
        <w:rPr>
          <w:rFonts w:cs="Arial"/>
          <w:color w:val="000000" w:themeColor="text1"/>
          <w:szCs w:val="20"/>
        </w:rPr>
        <w:t xml:space="preserve">To </w:t>
      </w:r>
      <w:r w:rsidR="00E42E04" w:rsidRPr="00E42E04">
        <w:rPr>
          <w:rFonts w:cs="Arial"/>
          <w:color w:val="000000" w:themeColor="text1"/>
          <w:szCs w:val="20"/>
        </w:rPr>
        <w:t>specify the scope and limitations to prescribing of dependence by general practice registrars.</w:t>
      </w:r>
    </w:p>
    <w:p w14:paraId="666F6DBE" w14:textId="77777777" w:rsidR="00F408D3" w:rsidRPr="00483679" w:rsidRDefault="00F408D3" w:rsidP="00F408D3">
      <w:pPr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 xml:space="preserve">For more information, please refer to the RACGPs </w:t>
      </w:r>
      <w:hyperlink r:id="rId7" w:history="1">
        <w:r w:rsidRPr="00BF6FC6">
          <w:rPr>
            <w:rStyle w:val="Hyperlink"/>
            <w:rFonts w:cs="Arial"/>
            <w:szCs w:val="20"/>
          </w:rPr>
          <w:t>Prescribing drugs of dependence in general practice – Part A – Clinical Governance Framework</w:t>
        </w:r>
      </w:hyperlink>
      <w:r>
        <w:rPr>
          <w:rFonts w:cs="Arial"/>
          <w:color w:val="000000" w:themeColor="text1"/>
          <w:szCs w:val="20"/>
        </w:rPr>
        <w:t xml:space="preserve">. </w:t>
      </w:r>
    </w:p>
    <w:p w14:paraId="6D6C360D" w14:textId="473CAD13" w:rsidR="006D1284" w:rsidRPr="005B1E07" w:rsidRDefault="006D1284" w:rsidP="005B1E07">
      <w:pPr>
        <w:spacing w:after="0"/>
        <w:contextualSpacing/>
        <w:rPr>
          <w:color w:val="auto"/>
          <w:szCs w:val="20"/>
          <w:lang w:val="en-GB"/>
        </w:rPr>
      </w:pPr>
      <w:r>
        <w:rPr>
          <w:color w:val="auto"/>
          <w:szCs w:val="20"/>
          <w:lang w:val="en-GB"/>
        </w:rPr>
        <w:br w:type="page"/>
      </w:r>
    </w:p>
    <w:p w14:paraId="6B626F6E" w14:textId="759FDDAD" w:rsidR="006D1284" w:rsidRDefault="006D1284" w:rsidP="006D1284">
      <w:pPr>
        <w:pStyle w:val="MBHeader01"/>
        <w:tabs>
          <w:tab w:val="clear" w:pos="936"/>
          <w:tab w:val="left" w:pos="720"/>
        </w:tabs>
        <w:spacing w:before="0" w:after="0"/>
        <w:ind w:left="0" w:firstLine="0"/>
        <w:rPr>
          <w:rFonts w:cs="Arial"/>
          <w:color w:val="0070C0"/>
          <w:sz w:val="36"/>
          <w:szCs w:val="24"/>
          <w:lang w:val="en-GB"/>
        </w:rPr>
      </w:pPr>
      <w:r>
        <w:rPr>
          <w:rFonts w:cs="Arial"/>
          <w:color w:val="FF0000"/>
          <w:sz w:val="36"/>
          <w:szCs w:val="24"/>
          <w:lang w:val="en-GB"/>
        </w:rPr>
        <w:lastRenderedPageBreak/>
        <w:t>[</w:t>
      </w:r>
      <w:r w:rsidR="00E94D6E">
        <w:rPr>
          <w:rFonts w:cs="Arial"/>
          <w:color w:val="FF0000"/>
          <w:sz w:val="36"/>
          <w:szCs w:val="24"/>
          <w:lang w:val="en-GB"/>
        </w:rPr>
        <w:t>Insert</w:t>
      </w:r>
      <w:r>
        <w:rPr>
          <w:rFonts w:cs="Arial"/>
          <w:color w:val="FF0000"/>
          <w:sz w:val="36"/>
          <w:szCs w:val="24"/>
          <w:lang w:val="en-GB"/>
        </w:rPr>
        <w:t xml:space="preserve"> practice name] </w:t>
      </w:r>
      <w:r w:rsidR="00766882">
        <w:rPr>
          <w:rFonts w:cs="Arial"/>
          <w:color w:val="0070C0"/>
          <w:sz w:val="36"/>
          <w:szCs w:val="24"/>
          <w:lang w:val="en-GB"/>
        </w:rPr>
        <w:t>restriction of prescribing rights for drugs of dependence</w:t>
      </w:r>
    </w:p>
    <w:p w14:paraId="744E29A0" w14:textId="77777777" w:rsidR="00766882" w:rsidRDefault="00766882" w:rsidP="006D1284">
      <w:pPr>
        <w:pStyle w:val="MBHeader01"/>
        <w:tabs>
          <w:tab w:val="clear" w:pos="936"/>
          <w:tab w:val="left" w:pos="720"/>
        </w:tabs>
        <w:spacing w:before="0" w:after="0"/>
        <w:ind w:left="0" w:firstLine="0"/>
        <w:rPr>
          <w:rFonts w:cs="Arial"/>
          <w:color w:val="0070C0"/>
          <w:sz w:val="36"/>
          <w:szCs w:val="24"/>
          <w:lang w:val="en-GB"/>
        </w:rPr>
      </w:pPr>
    </w:p>
    <w:p w14:paraId="3A59BF94" w14:textId="77777777" w:rsidR="006D1284" w:rsidRDefault="006D1284" w:rsidP="006D1284">
      <w:pPr>
        <w:pStyle w:val="MB-Body"/>
        <w:tabs>
          <w:tab w:val="left" w:pos="720"/>
        </w:tabs>
        <w:spacing w:after="0" w:line="276" w:lineRule="auto"/>
        <w:rPr>
          <w:i/>
          <w:color w:val="CF1D21"/>
          <w:sz w:val="22"/>
          <w:szCs w:val="22"/>
          <w:lang w:val="en-GB"/>
        </w:rPr>
      </w:pPr>
      <w:r>
        <w:rPr>
          <w:i/>
          <w:sz w:val="22"/>
          <w:szCs w:val="22"/>
          <w:lang w:val="en-GB"/>
        </w:rPr>
        <w:t xml:space="preserve">Current as of: </w:t>
      </w:r>
      <w:r>
        <w:rPr>
          <w:i/>
          <w:color w:val="CF1D21"/>
          <w:sz w:val="22"/>
          <w:szCs w:val="22"/>
          <w:lang w:val="en-GB"/>
        </w:rPr>
        <w:t>[insert date of last revision]</w:t>
      </w:r>
    </w:p>
    <w:p w14:paraId="20176AE8" w14:textId="77777777" w:rsidR="006D1284" w:rsidRDefault="006D1284" w:rsidP="006D1284">
      <w:pPr>
        <w:pStyle w:val="MB-Body"/>
        <w:tabs>
          <w:tab w:val="left" w:pos="720"/>
        </w:tabs>
        <w:spacing w:after="0" w:line="276" w:lineRule="auto"/>
        <w:rPr>
          <w:i/>
          <w:color w:val="CF1D21"/>
          <w:sz w:val="22"/>
          <w:szCs w:val="22"/>
          <w:lang w:val="en-GB"/>
        </w:rPr>
      </w:pPr>
      <w:r>
        <w:rPr>
          <w:i/>
          <w:color w:val="auto"/>
          <w:sz w:val="22"/>
          <w:szCs w:val="22"/>
          <w:lang w:val="en-GB"/>
        </w:rPr>
        <w:t>Version no:</w:t>
      </w:r>
      <w:r>
        <w:rPr>
          <w:i/>
          <w:color w:val="CF1D21"/>
          <w:sz w:val="22"/>
          <w:szCs w:val="22"/>
          <w:lang w:val="en-GB"/>
        </w:rPr>
        <w:t xml:space="preserve"> [insert version number]</w:t>
      </w:r>
    </w:p>
    <w:p w14:paraId="4550F6C3" w14:textId="6554FBC3" w:rsidR="002C4C1B" w:rsidRDefault="002C4C1B" w:rsidP="006D1284">
      <w:pPr>
        <w:pStyle w:val="MB-Body"/>
        <w:tabs>
          <w:tab w:val="left" w:pos="720"/>
        </w:tabs>
        <w:spacing w:after="0" w:line="276" w:lineRule="auto"/>
        <w:rPr>
          <w:i/>
          <w:sz w:val="22"/>
          <w:szCs w:val="22"/>
          <w:lang w:val="en-GB"/>
        </w:rPr>
      </w:pPr>
      <w:r w:rsidRPr="002C4C1B">
        <w:rPr>
          <w:i/>
          <w:color w:val="auto"/>
          <w:sz w:val="22"/>
          <w:szCs w:val="22"/>
          <w:lang w:val="en-GB"/>
        </w:rPr>
        <w:t xml:space="preserve">Review date: </w:t>
      </w:r>
      <w:r>
        <w:rPr>
          <w:i/>
          <w:color w:val="CF1D21"/>
          <w:sz w:val="22"/>
          <w:szCs w:val="22"/>
          <w:lang w:val="en-GB"/>
        </w:rPr>
        <w:t>[insert date]</w:t>
      </w:r>
    </w:p>
    <w:p w14:paraId="3D6D0D77" w14:textId="77777777" w:rsidR="006D1284" w:rsidRDefault="006D1284" w:rsidP="006D1284">
      <w:pPr>
        <w:spacing w:after="0"/>
        <w:contextualSpacing/>
        <w:rPr>
          <w:rFonts w:cs="Arial"/>
          <w:b/>
          <w:lang w:val="en-GB"/>
        </w:rPr>
      </w:pPr>
    </w:p>
    <w:p w14:paraId="1BAA5723" w14:textId="519FB01F" w:rsidR="006D1284" w:rsidRDefault="006D1284" w:rsidP="006D1284">
      <w:pPr>
        <w:spacing w:after="0"/>
        <w:rPr>
          <w:rFonts w:cs="Arial"/>
          <w:bCs/>
          <w:lang w:val="en-GB"/>
        </w:rPr>
      </w:pPr>
      <w:r>
        <w:rPr>
          <w:rFonts w:cs="Arial"/>
          <w:bCs/>
          <w:lang w:val="en-GB"/>
        </w:rPr>
        <w:t>This pol</w:t>
      </w:r>
      <w:r w:rsidR="00BF419D">
        <w:rPr>
          <w:rFonts w:cs="Arial"/>
          <w:bCs/>
          <w:lang w:val="en-GB"/>
        </w:rPr>
        <w:t xml:space="preserve">icy </w:t>
      </w:r>
      <w:r w:rsidR="002C4C1B" w:rsidRPr="002C4C1B">
        <w:rPr>
          <w:rFonts w:cs="Arial"/>
          <w:bCs/>
          <w:lang w:val="en-GB"/>
        </w:rPr>
        <w:t>inform</w:t>
      </w:r>
      <w:r w:rsidR="002C4C1B">
        <w:rPr>
          <w:rFonts w:cs="Arial"/>
          <w:bCs/>
          <w:lang w:val="en-GB"/>
        </w:rPr>
        <w:t>s</w:t>
      </w:r>
      <w:r w:rsidR="002C4C1B" w:rsidRPr="002C4C1B">
        <w:rPr>
          <w:rFonts w:cs="Arial"/>
          <w:bCs/>
          <w:lang w:val="en-GB"/>
        </w:rPr>
        <w:t xml:space="preserve"> </w:t>
      </w:r>
      <w:r w:rsidR="00766882">
        <w:rPr>
          <w:rFonts w:cs="Arial"/>
          <w:bCs/>
          <w:lang w:val="en-GB"/>
        </w:rPr>
        <w:t xml:space="preserve">practice staff of the scope and limitations to prescribing drugs of dependence by general practice registrars. </w:t>
      </w:r>
    </w:p>
    <w:p w14:paraId="70018EC5" w14:textId="77777777" w:rsidR="00BF419D" w:rsidRDefault="00BF419D" w:rsidP="006D1284">
      <w:pPr>
        <w:spacing w:after="0"/>
        <w:rPr>
          <w:rFonts w:cs="Arial"/>
          <w:bCs/>
          <w:lang w:val="en-GB"/>
        </w:rPr>
      </w:pPr>
    </w:p>
    <w:p w14:paraId="407FD1E7" w14:textId="77777777" w:rsidR="00766882" w:rsidRPr="00766882" w:rsidRDefault="00766882" w:rsidP="00766882">
      <w:pPr>
        <w:spacing w:after="0"/>
        <w:contextualSpacing/>
        <w:rPr>
          <w:rFonts w:eastAsia="Times New Roman" w:cs="Arial"/>
          <w:lang w:val="en-GB" w:eastAsia="en-AU"/>
        </w:rPr>
      </w:pPr>
      <w:r w:rsidRPr="00766882">
        <w:rPr>
          <w:rFonts w:eastAsia="Times New Roman" w:cs="Arial"/>
          <w:lang w:val="en-GB" w:eastAsia="en-AU"/>
        </w:rPr>
        <w:t>Registrars at the [Insert practice name] are restricted in prescribing drugs of addiction and drugs of dependence to levels determined by the [Insert practice name] clinical governance team or supervising general practitioner.</w:t>
      </w:r>
    </w:p>
    <w:p w14:paraId="02A45673" w14:textId="77777777" w:rsidR="00766882" w:rsidRDefault="00766882" w:rsidP="00766882">
      <w:pPr>
        <w:spacing w:after="0"/>
        <w:contextualSpacing/>
        <w:rPr>
          <w:rFonts w:eastAsia="Times New Roman" w:cs="Arial"/>
          <w:lang w:val="en-GB" w:eastAsia="en-AU"/>
        </w:rPr>
      </w:pPr>
      <w:r w:rsidRPr="00766882">
        <w:rPr>
          <w:rFonts w:eastAsia="Times New Roman" w:cs="Arial"/>
          <w:lang w:val="en-GB" w:eastAsia="en-AU"/>
        </w:rPr>
        <w:t>Quality use of these drugs is an essential component of primary care. Ongoing experience, training and self-education in the use of these medications is required as part of training at the [Insert practice name].</w:t>
      </w:r>
    </w:p>
    <w:p w14:paraId="74C3780E" w14:textId="77777777" w:rsidR="00766882" w:rsidRPr="00766882" w:rsidRDefault="00766882" w:rsidP="00766882">
      <w:pPr>
        <w:spacing w:after="0"/>
        <w:contextualSpacing/>
        <w:rPr>
          <w:rFonts w:eastAsia="Times New Roman" w:cs="Arial"/>
          <w:lang w:val="en-GB" w:eastAsia="en-AU"/>
        </w:rPr>
      </w:pPr>
    </w:p>
    <w:p w14:paraId="6ABF054E" w14:textId="759530D9" w:rsidR="006D1284" w:rsidRPr="000A44B9" w:rsidRDefault="00766882" w:rsidP="00766882">
      <w:pPr>
        <w:spacing w:after="0"/>
        <w:contextualSpacing/>
        <w:rPr>
          <w:rFonts w:eastAsia="Times New Roman" w:cs="Arial"/>
          <w:b/>
          <w:lang w:val="en-GB" w:eastAsia="en-AU"/>
        </w:rPr>
      </w:pPr>
      <w:r w:rsidRPr="000A44B9">
        <w:rPr>
          <w:rFonts w:eastAsia="Times New Roman" w:cs="Arial"/>
          <w:b/>
          <w:lang w:val="en-GB" w:eastAsia="en-AU"/>
        </w:rPr>
        <w:t>Drugs restricted under this policy</w:t>
      </w:r>
    </w:p>
    <w:p w14:paraId="1E0A5365" w14:textId="77777777" w:rsidR="00766882" w:rsidRPr="00766882" w:rsidRDefault="00766882" w:rsidP="00766882">
      <w:pPr>
        <w:spacing w:after="0"/>
        <w:contextualSpacing/>
        <w:rPr>
          <w:rFonts w:eastAsia="Times New Roman" w:cs="Arial"/>
          <w:lang w:val="en-GB" w:eastAsia="en-AU"/>
        </w:rPr>
      </w:pPr>
      <w:r w:rsidRPr="00766882">
        <w:rPr>
          <w:rFonts w:eastAsia="Times New Roman" w:cs="Arial"/>
          <w:lang w:val="en-GB" w:eastAsia="en-AU"/>
        </w:rPr>
        <w:t>•</w:t>
      </w:r>
      <w:r w:rsidRPr="00766882">
        <w:rPr>
          <w:rFonts w:eastAsia="Times New Roman" w:cs="Arial"/>
          <w:lang w:val="en-GB" w:eastAsia="en-AU"/>
        </w:rPr>
        <w:tab/>
        <w:t>Opioid analgesics</w:t>
      </w:r>
    </w:p>
    <w:p w14:paraId="06DE258F" w14:textId="0D2E00EB" w:rsidR="00766882" w:rsidRDefault="00766882" w:rsidP="00766882">
      <w:pPr>
        <w:spacing w:after="0"/>
        <w:contextualSpacing/>
        <w:rPr>
          <w:rFonts w:eastAsia="Times New Roman" w:cs="Arial"/>
          <w:lang w:val="en-GB" w:eastAsia="en-AU"/>
        </w:rPr>
      </w:pPr>
      <w:r w:rsidRPr="00766882">
        <w:rPr>
          <w:rFonts w:eastAsia="Times New Roman" w:cs="Arial"/>
          <w:lang w:val="en-GB" w:eastAsia="en-AU"/>
        </w:rPr>
        <w:t>•</w:t>
      </w:r>
      <w:r w:rsidRPr="00766882">
        <w:rPr>
          <w:rFonts w:eastAsia="Times New Roman" w:cs="Arial"/>
          <w:lang w:val="en-GB" w:eastAsia="en-AU"/>
        </w:rPr>
        <w:tab/>
        <w:t>Benzodiazepines</w:t>
      </w:r>
    </w:p>
    <w:p w14:paraId="44E5304D" w14:textId="77777777" w:rsidR="00766882" w:rsidRDefault="00766882" w:rsidP="00766882">
      <w:pPr>
        <w:spacing w:after="0"/>
        <w:contextualSpacing/>
        <w:rPr>
          <w:rFonts w:eastAsia="Times New Roman" w:cs="Arial"/>
          <w:lang w:val="en-GB" w:eastAsia="en-AU"/>
        </w:rPr>
      </w:pPr>
    </w:p>
    <w:p w14:paraId="588B37B0" w14:textId="77777777" w:rsidR="00766882" w:rsidRPr="000A44B9" w:rsidRDefault="00766882" w:rsidP="00766882">
      <w:pPr>
        <w:spacing w:after="0"/>
        <w:contextualSpacing/>
        <w:rPr>
          <w:rFonts w:eastAsia="Times New Roman" w:cs="Arial"/>
          <w:i/>
          <w:color w:val="FF0000"/>
          <w:lang w:val="en-GB" w:eastAsia="en-AU"/>
        </w:rPr>
      </w:pPr>
      <w:r w:rsidRPr="00766882">
        <w:rPr>
          <w:rFonts w:eastAsia="Times New Roman" w:cs="Arial"/>
          <w:lang w:val="en-GB" w:eastAsia="en-AU"/>
        </w:rPr>
        <w:t xml:space="preserve">Scope and limitations </w:t>
      </w:r>
      <w:r w:rsidRPr="000A44B9">
        <w:rPr>
          <w:rFonts w:eastAsia="Times New Roman" w:cs="Arial"/>
          <w:i/>
          <w:color w:val="FF0000"/>
          <w:lang w:val="en-GB" w:eastAsia="en-AU"/>
        </w:rPr>
        <w:t>[May be changed according to individual practice circumstances.]</w:t>
      </w:r>
    </w:p>
    <w:p w14:paraId="7B9DF601" w14:textId="77777777" w:rsidR="00766882" w:rsidRDefault="00766882" w:rsidP="00766882">
      <w:pPr>
        <w:spacing w:after="0"/>
        <w:contextualSpacing/>
        <w:rPr>
          <w:rFonts w:eastAsia="Times New Roman" w:cs="Arial"/>
          <w:lang w:val="en-GB" w:eastAsia="en-AU"/>
        </w:rPr>
      </w:pPr>
    </w:p>
    <w:p w14:paraId="4DB928AE" w14:textId="32A8585D" w:rsidR="00766882" w:rsidRPr="000A44B9" w:rsidRDefault="00766882" w:rsidP="00766882">
      <w:pPr>
        <w:spacing w:after="0"/>
        <w:contextualSpacing/>
        <w:rPr>
          <w:rFonts w:eastAsia="Times New Roman" w:cs="Arial"/>
          <w:b/>
          <w:lang w:val="en-GB" w:eastAsia="en-AU"/>
        </w:rPr>
      </w:pPr>
      <w:r w:rsidRPr="000A44B9">
        <w:rPr>
          <w:rFonts w:eastAsia="Times New Roman" w:cs="Arial"/>
          <w:b/>
          <w:lang w:val="en-GB" w:eastAsia="en-AU"/>
        </w:rPr>
        <w:t xml:space="preserve">Opioid (and other prescription) analgesics </w:t>
      </w:r>
    </w:p>
    <w:p w14:paraId="188A7E79" w14:textId="23B7C636" w:rsidR="00766882" w:rsidRDefault="00766882" w:rsidP="00766882">
      <w:pPr>
        <w:spacing w:after="0"/>
        <w:contextualSpacing/>
        <w:rPr>
          <w:rFonts w:eastAsia="Times New Roman" w:cs="Arial"/>
          <w:lang w:val="en-GB" w:eastAsia="en-AU"/>
        </w:rPr>
      </w:pPr>
      <w:r w:rsidRPr="00766882">
        <w:rPr>
          <w:rFonts w:eastAsia="Times New Roman" w:cs="Arial"/>
          <w:lang w:val="en-GB" w:eastAsia="en-AU"/>
        </w:rPr>
        <w:t xml:space="preserve">Registrars are permitted to </w:t>
      </w:r>
      <w:r w:rsidRPr="000A44B9">
        <w:rPr>
          <w:rFonts w:eastAsia="Times New Roman" w:cs="Arial"/>
          <w:b/>
          <w:lang w:val="en-GB" w:eastAsia="en-AU"/>
        </w:rPr>
        <w:t>initiate</w:t>
      </w:r>
      <w:r w:rsidRPr="00766882">
        <w:rPr>
          <w:rFonts w:eastAsia="Times New Roman" w:cs="Arial"/>
          <w:lang w:val="en-GB" w:eastAsia="en-AU"/>
        </w:rPr>
        <w:t xml:space="preserve"> opioid analgesics as specified below:</w:t>
      </w:r>
    </w:p>
    <w:p w14:paraId="7B6DADCF" w14:textId="3C3CD305" w:rsidR="00766882" w:rsidRPr="000A44B9" w:rsidRDefault="00766882" w:rsidP="000A44B9">
      <w:pPr>
        <w:pStyle w:val="ListParagraph"/>
        <w:numPr>
          <w:ilvl w:val="0"/>
          <w:numId w:val="17"/>
        </w:numPr>
        <w:spacing w:after="0"/>
        <w:rPr>
          <w:rFonts w:eastAsia="Times New Roman" w:cs="Arial"/>
          <w:lang w:val="en-GB" w:eastAsia="en-AU"/>
        </w:rPr>
      </w:pPr>
      <w:r w:rsidRPr="000A44B9">
        <w:rPr>
          <w:rFonts w:eastAsia="Times New Roman" w:cs="Arial"/>
          <w:lang w:val="en-GB" w:eastAsia="en-AU"/>
        </w:rPr>
        <w:t>To hospitalised and residential aged care facility patients:</w:t>
      </w:r>
    </w:p>
    <w:p w14:paraId="39B1E359" w14:textId="5F5AF6D3" w:rsidR="00766882" w:rsidRPr="00DC6EE1" w:rsidRDefault="00766882" w:rsidP="00DC6EE1">
      <w:pPr>
        <w:pStyle w:val="ListParagraph"/>
        <w:numPr>
          <w:ilvl w:val="0"/>
          <w:numId w:val="21"/>
        </w:numPr>
        <w:spacing w:after="0"/>
        <w:rPr>
          <w:rFonts w:eastAsia="Times New Roman" w:cs="Arial"/>
          <w:lang w:val="en-GB" w:eastAsia="en-AU"/>
        </w:rPr>
      </w:pPr>
      <w:r w:rsidRPr="00DC6EE1">
        <w:rPr>
          <w:rFonts w:eastAsia="Times New Roman" w:cs="Arial"/>
          <w:lang w:val="en-GB" w:eastAsia="en-AU"/>
        </w:rPr>
        <w:t>for acute analgesia – on call</w:t>
      </w:r>
    </w:p>
    <w:p w14:paraId="786B9EA0" w14:textId="79610C92" w:rsidR="00766882" w:rsidRPr="00DC6EE1" w:rsidRDefault="00766882" w:rsidP="00DC6EE1">
      <w:pPr>
        <w:pStyle w:val="ListParagraph"/>
        <w:numPr>
          <w:ilvl w:val="0"/>
          <w:numId w:val="21"/>
        </w:numPr>
        <w:spacing w:after="0"/>
        <w:rPr>
          <w:rFonts w:eastAsia="Times New Roman" w:cs="Arial"/>
          <w:lang w:val="en-GB" w:eastAsia="en-AU"/>
        </w:rPr>
      </w:pPr>
      <w:r w:rsidRPr="00DC6EE1">
        <w:rPr>
          <w:rFonts w:eastAsia="Times New Roman" w:cs="Arial"/>
          <w:lang w:val="en-GB" w:eastAsia="en-AU"/>
        </w:rPr>
        <w:t>using the following medications:</w:t>
      </w:r>
    </w:p>
    <w:p w14:paraId="53B16366" w14:textId="3EC154B6" w:rsidR="00766882" w:rsidRPr="00DC6EE1" w:rsidRDefault="00766882" w:rsidP="00DC6EE1">
      <w:pPr>
        <w:pStyle w:val="ListParagraph"/>
        <w:numPr>
          <w:ilvl w:val="0"/>
          <w:numId w:val="22"/>
        </w:numPr>
        <w:spacing w:after="0"/>
        <w:rPr>
          <w:rFonts w:eastAsia="Times New Roman" w:cs="Arial"/>
          <w:lang w:val="en-GB" w:eastAsia="en-AU"/>
        </w:rPr>
      </w:pPr>
      <w:r w:rsidRPr="00DC6EE1">
        <w:rPr>
          <w:rFonts w:eastAsia="Times New Roman" w:cs="Arial"/>
          <w:lang w:val="en-GB" w:eastAsia="en-AU"/>
        </w:rPr>
        <w:t>Tramadol (currently S4) – ceiling dose 200 mg a day</w:t>
      </w:r>
    </w:p>
    <w:p w14:paraId="0BA85D3A" w14:textId="285E2963" w:rsidR="00766882" w:rsidRPr="00DC6EE1" w:rsidRDefault="00766882" w:rsidP="00DC6EE1">
      <w:pPr>
        <w:pStyle w:val="ListParagraph"/>
        <w:numPr>
          <w:ilvl w:val="0"/>
          <w:numId w:val="22"/>
        </w:numPr>
        <w:spacing w:after="0"/>
        <w:rPr>
          <w:rFonts w:eastAsia="Times New Roman" w:cs="Arial"/>
          <w:lang w:val="en-GB" w:eastAsia="en-AU"/>
        </w:rPr>
      </w:pPr>
      <w:r w:rsidRPr="00DC6EE1">
        <w:rPr>
          <w:rFonts w:eastAsia="Times New Roman" w:cs="Arial"/>
          <w:lang w:val="en-GB" w:eastAsia="en-AU"/>
        </w:rPr>
        <w:t>Morphine – ceiling dose 40 mg a day</w:t>
      </w:r>
    </w:p>
    <w:p w14:paraId="0C289D14" w14:textId="74179CF6" w:rsidR="00766882" w:rsidRPr="00766882" w:rsidRDefault="00766882" w:rsidP="00DC6EE1">
      <w:pPr>
        <w:spacing w:after="0"/>
        <w:ind w:left="360"/>
        <w:contextualSpacing/>
        <w:rPr>
          <w:rFonts w:eastAsia="Times New Roman" w:cs="Arial"/>
          <w:lang w:val="en-GB" w:eastAsia="en-AU"/>
        </w:rPr>
      </w:pPr>
      <w:r w:rsidRPr="00766882">
        <w:rPr>
          <w:rFonts w:eastAsia="Times New Roman" w:cs="Arial"/>
          <w:lang w:val="en-GB" w:eastAsia="en-AU"/>
        </w:rPr>
        <w:t>Note that combinations of drugs that result in higher than 40</w:t>
      </w:r>
      <w:r w:rsidR="000A44B9">
        <w:rPr>
          <w:rFonts w:eastAsia="Times New Roman" w:cs="Arial"/>
          <w:lang w:val="en-GB" w:eastAsia="en-AU"/>
        </w:rPr>
        <w:t xml:space="preserve"> mg morphine equivalent per day </w:t>
      </w:r>
      <w:r w:rsidRPr="00766882">
        <w:rPr>
          <w:rFonts w:eastAsia="Times New Roman" w:cs="Arial"/>
          <w:lang w:val="en-GB" w:eastAsia="en-AU"/>
        </w:rPr>
        <w:t>will require senior GP review.</w:t>
      </w:r>
    </w:p>
    <w:p w14:paraId="3A86D448" w14:textId="77777777" w:rsidR="00766882" w:rsidRDefault="00766882" w:rsidP="00766882">
      <w:pPr>
        <w:spacing w:after="0"/>
        <w:contextualSpacing/>
        <w:rPr>
          <w:rFonts w:eastAsia="Times New Roman" w:cs="Arial"/>
          <w:lang w:val="en-GB" w:eastAsia="en-AU"/>
        </w:rPr>
      </w:pPr>
    </w:p>
    <w:p w14:paraId="0429C2F3" w14:textId="4E2FD409" w:rsidR="00766882" w:rsidRPr="000A44B9" w:rsidRDefault="00766882" w:rsidP="000A44B9">
      <w:pPr>
        <w:pStyle w:val="ListParagraph"/>
        <w:numPr>
          <w:ilvl w:val="0"/>
          <w:numId w:val="17"/>
        </w:numPr>
        <w:spacing w:after="0"/>
        <w:rPr>
          <w:rFonts w:eastAsia="Times New Roman" w:cs="Arial"/>
          <w:lang w:val="en-GB" w:eastAsia="en-AU"/>
        </w:rPr>
      </w:pPr>
      <w:r w:rsidRPr="000A44B9">
        <w:rPr>
          <w:rFonts w:eastAsia="Times New Roman" w:cs="Arial"/>
          <w:lang w:val="en-GB" w:eastAsia="en-AU"/>
        </w:rPr>
        <w:t>To general practice patients:</w:t>
      </w:r>
    </w:p>
    <w:p w14:paraId="51288A0A" w14:textId="07064633" w:rsidR="00766882" w:rsidRPr="000A44B9" w:rsidRDefault="00766882" w:rsidP="00DC6EE1">
      <w:pPr>
        <w:pStyle w:val="ListParagraph"/>
        <w:numPr>
          <w:ilvl w:val="0"/>
          <w:numId w:val="20"/>
        </w:numPr>
        <w:spacing w:after="0"/>
        <w:rPr>
          <w:rFonts w:eastAsia="Times New Roman" w:cs="Arial"/>
          <w:lang w:val="en-GB" w:eastAsia="en-AU"/>
        </w:rPr>
      </w:pPr>
      <w:r w:rsidRPr="000A44B9">
        <w:rPr>
          <w:rFonts w:eastAsia="Times New Roman" w:cs="Arial"/>
          <w:lang w:val="en-GB" w:eastAsia="en-AU"/>
        </w:rPr>
        <w:t>using the following medications:</w:t>
      </w:r>
    </w:p>
    <w:p w14:paraId="1B449074" w14:textId="79093000" w:rsidR="00766882" w:rsidRPr="00DC6EE1" w:rsidRDefault="00766882" w:rsidP="00DC6EE1">
      <w:pPr>
        <w:pStyle w:val="ListParagraph"/>
        <w:numPr>
          <w:ilvl w:val="0"/>
          <w:numId w:val="24"/>
        </w:numPr>
        <w:spacing w:after="0"/>
        <w:rPr>
          <w:rFonts w:eastAsia="Times New Roman" w:cs="Arial"/>
          <w:lang w:val="en-GB" w:eastAsia="en-AU"/>
        </w:rPr>
      </w:pPr>
      <w:r w:rsidRPr="00DC6EE1">
        <w:rPr>
          <w:rFonts w:eastAsia="Times New Roman" w:cs="Arial"/>
          <w:lang w:val="en-GB" w:eastAsia="en-AU"/>
        </w:rPr>
        <w:t>paracetamol 500 mg codeine 30 mg – limited to 20 tablets</w:t>
      </w:r>
    </w:p>
    <w:p w14:paraId="07F788B8" w14:textId="67F59989" w:rsidR="00766882" w:rsidRPr="00DC6EE1" w:rsidRDefault="00766882" w:rsidP="00DC6EE1">
      <w:pPr>
        <w:pStyle w:val="ListParagraph"/>
        <w:numPr>
          <w:ilvl w:val="0"/>
          <w:numId w:val="24"/>
        </w:numPr>
        <w:spacing w:after="0"/>
        <w:rPr>
          <w:rFonts w:eastAsia="Times New Roman" w:cs="Arial"/>
          <w:lang w:val="en-GB" w:eastAsia="en-AU"/>
        </w:rPr>
      </w:pPr>
      <w:r w:rsidRPr="00DC6EE1">
        <w:rPr>
          <w:rFonts w:eastAsia="Times New Roman" w:cs="Arial"/>
          <w:lang w:val="en-GB" w:eastAsia="en-AU"/>
        </w:rPr>
        <w:t>tramadol 100 mg – limited to 20</w:t>
      </w:r>
    </w:p>
    <w:p w14:paraId="5A613A95" w14:textId="6AA9D044" w:rsidR="00766882" w:rsidRDefault="00766882" w:rsidP="00DC6EE1">
      <w:pPr>
        <w:spacing w:after="0"/>
        <w:ind w:left="720"/>
        <w:contextualSpacing/>
        <w:rPr>
          <w:rFonts w:eastAsia="Times New Roman" w:cs="Arial"/>
          <w:lang w:val="en-GB" w:eastAsia="en-AU"/>
        </w:rPr>
      </w:pPr>
      <w:r w:rsidRPr="00766882">
        <w:rPr>
          <w:rFonts w:eastAsia="Times New Roman" w:cs="Arial"/>
          <w:lang w:val="en-GB" w:eastAsia="en-AU"/>
        </w:rPr>
        <w:t>Note that higher dose tramadol requires consultation with a senior practitioner within the practice.</w:t>
      </w:r>
    </w:p>
    <w:p w14:paraId="43C527C1" w14:textId="43E51E49" w:rsidR="00766882" w:rsidRPr="00DC6EE1" w:rsidRDefault="00766882" w:rsidP="00DC6EE1">
      <w:pPr>
        <w:pStyle w:val="ListParagraph"/>
        <w:numPr>
          <w:ilvl w:val="0"/>
          <w:numId w:val="20"/>
        </w:numPr>
        <w:spacing w:after="0"/>
        <w:rPr>
          <w:rFonts w:eastAsia="Times New Roman" w:cs="Arial"/>
          <w:lang w:val="en-GB" w:eastAsia="en-AU"/>
        </w:rPr>
      </w:pPr>
      <w:r w:rsidRPr="00DC6EE1">
        <w:rPr>
          <w:rFonts w:eastAsia="Times New Roman" w:cs="Arial"/>
          <w:lang w:val="en-GB" w:eastAsia="en-AU"/>
        </w:rPr>
        <w:t>Paracetamol/dextropropoxyphene derivatives (paradex, capadex, digesic) are prohibited</w:t>
      </w:r>
    </w:p>
    <w:p w14:paraId="4DF6FF0B" w14:textId="43D536A6" w:rsidR="00766882" w:rsidRPr="00DC6EE1" w:rsidRDefault="00766882" w:rsidP="00DC6EE1">
      <w:pPr>
        <w:pStyle w:val="ListParagraph"/>
        <w:numPr>
          <w:ilvl w:val="0"/>
          <w:numId w:val="20"/>
        </w:numPr>
        <w:spacing w:after="0"/>
        <w:rPr>
          <w:rFonts w:eastAsia="Times New Roman" w:cs="Arial"/>
          <w:lang w:val="en-GB" w:eastAsia="en-AU"/>
        </w:rPr>
      </w:pPr>
      <w:r w:rsidRPr="00DC6EE1">
        <w:rPr>
          <w:rFonts w:eastAsia="Times New Roman" w:cs="Arial"/>
          <w:lang w:val="en-GB" w:eastAsia="en-AU"/>
        </w:rPr>
        <w:t>Codeine, oxycodone, buprenorphine patches, fentany</w:t>
      </w:r>
      <w:r w:rsidR="00DC6EE1" w:rsidRPr="00DC6EE1">
        <w:rPr>
          <w:rFonts w:eastAsia="Times New Roman" w:cs="Arial"/>
          <w:lang w:val="en-GB" w:eastAsia="en-AU"/>
        </w:rPr>
        <w:t xml:space="preserve">l patches and hydromorphone use </w:t>
      </w:r>
      <w:r w:rsidRPr="00DC6EE1">
        <w:rPr>
          <w:rFonts w:eastAsia="Times New Roman" w:cs="Arial"/>
          <w:lang w:val="en-GB" w:eastAsia="en-AU"/>
        </w:rPr>
        <w:t>requires discussion with a senior practitioner within the practice.</w:t>
      </w:r>
    </w:p>
    <w:p w14:paraId="7C60C53C" w14:textId="77777777" w:rsidR="00766882" w:rsidRDefault="00766882" w:rsidP="00766882">
      <w:pPr>
        <w:spacing w:after="0"/>
        <w:contextualSpacing/>
        <w:rPr>
          <w:rFonts w:eastAsia="Times New Roman" w:cs="Arial"/>
          <w:lang w:val="en-GB" w:eastAsia="en-AU"/>
        </w:rPr>
      </w:pPr>
    </w:p>
    <w:p w14:paraId="24A10E3D" w14:textId="3302B9DB" w:rsidR="00766882" w:rsidRDefault="00766882" w:rsidP="00766882">
      <w:pPr>
        <w:spacing w:after="0"/>
        <w:contextualSpacing/>
        <w:rPr>
          <w:rFonts w:eastAsia="Times New Roman" w:cs="Arial"/>
          <w:lang w:val="en-GB" w:eastAsia="en-AU"/>
        </w:rPr>
      </w:pPr>
      <w:r w:rsidRPr="00766882">
        <w:rPr>
          <w:rFonts w:eastAsia="Times New Roman" w:cs="Arial"/>
          <w:lang w:val="en-GB" w:eastAsia="en-AU"/>
        </w:rPr>
        <w:t xml:space="preserve">Registrars are permitted to provide opioid analgesic </w:t>
      </w:r>
      <w:r w:rsidRPr="000A44B9">
        <w:rPr>
          <w:rFonts w:eastAsia="Times New Roman" w:cs="Arial"/>
          <w:b/>
          <w:lang w:val="en-GB" w:eastAsia="en-AU"/>
        </w:rPr>
        <w:t>continuation</w:t>
      </w:r>
      <w:r w:rsidRPr="00766882">
        <w:rPr>
          <w:rFonts w:eastAsia="Times New Roman" w:cs="Arial"/>
          <w:lang w:val="en-GB" w:eastAsia="en-AU"/>
        </w:rPr>
        <w:t xml:space="preserve"> as specified below:</w:t>
      </w:r>
    </w:p>
    <w:p w14:paraId="58546001" w14:textId="784C324F" w:rsidR="00766882" w:rsidRPr="00DC6EE1" w:rsidRDefault="00766882" w:rsidP="00DC6EE1">
      <w:pPr>
        <w:pStyle w:val="ListParagraph"/>
        <w:numPr>
          <w:ilvl w:val="0"/>
          <w:numId w:val="38"/>
        </w:numPr>
        <w:spacing w:after="0"/>
        <w:rPr>
          <w:rFonts w:eastAsia="Times New Roman" w:cs="Arial"/>
          <w:lang w:val="en-GB" w:eastAsia="en-AU"/>
        </w:rPr>
      </w:pPr>
      <w:r w:rsidRPr="00DC6EE1">
        <w:rPr>
          <w:rFonts w:eastAsia="Times New Roman" w:cs="Arial"/>
          <w:lang w:val="en-GB" w:eastAsia="en-AU"/>
        </w:rPr>
        <w:t>Registrars are permitted to supply continuation therapy:</w:t>
      </w:r>
    </w:p>
    <w:p w14:paraId="37F3FE53" w14:textId="1147D046" w:rsidR="00766882" w:rsidRPr="00DC6EE1" w:rsidRDefault="00766882" w:rsidP="00DC30E8">
      <w:pPr>
        <w:pStyle w:val="ListParagraph"/>
        <w:numPr>
          <w:ilvl w:val="0"/>
          <w:numId w:val="29"/>
        </w:numPr>
        <w:spacing w:after="0"/>
        <w:rPr>
          <w:rFonts w:eastAsia="Times New Roman" w:cs="Arial"/>
          <w:lang w:val="en-GB" w:eastAsia="en-AU"/>
        </w:rPr>
      </w:pPr>
      <w:r w:rsidRPr="00DC6EE1">
        <w:rPr>
          <w:rFonts w:eastAsia="Times New Roman" w:cs="Arial"/>
          <w:lang w:val="en-GB" w:eastAsia="en-AU"/>
        </w:rPr>
        <w:lastRenderedPageBreak/>
        <w:t>to long-term patients of the practice who are on stable medication regimes, in the absence of their usual practitioner</w:t>
      </w:r>
    </w:p>
    <w:p w14:paraId="26708893" w14:textId="7F0AC4D8" w:rsidR="00766882" w:rsidRPr="00DC6EE1" w:rsidRDefault="00766882" w:rsidP="00DC6EE1">
      <w:pPr>
        <w:pStyle w:val="ListParagraph"/>
        <w:numPr>
          <w:ilvl w:val="0"/>
          <w:numId w:val="30"/>
        </w:numPr>
        <w:spacing w:after="0"/>
        <w:rPr>
          <w:rFonts w:eastAsia="Times New Roman" w:cs="Arial"/>
          <w:lang w:val="en-GB" w:eastAsia="en-AU"/>
        </w:rPr>
      </w:pPr>
      <w:r w:rsidRPr="00DC6EE1">
        <w:rPr>
          <w:rFonts w:eastAsia="Times New Roman" w:cs="Arial"/>
          <w:lang w:val="en-GB" w:eastAsia="en-AU"/>
        </w:rPr>
        <w:t>patients requesting increased analgesia will need to be referred back to their usual practitioner</w:t>
      </w:r>
    </w:p>
    <w:p w14:paraId="463441C0" w14:textId="5AA2697E" w:rsidR="00766882" w:rsidRPr="00DC6EE1" w:rsidRDefault="00766882" w:rsidP="00DC30E8">
      <w:pPr>
        <w:pStyle w:val="ListParagraph"/>
        <w:numPr>
          <w:ilvl w:val="0"/>
          <w:numId w:val="29"/>
        </w:numPr>
        <w:spacing w:after="0"/>
        <w:rPr>
          <w:rFonts w:eastAsia="Times New Roman" w:cs="Arial"/>
          <w:lang w:val="en-GB" w:eastAsia="en-AU"/>
        </w:rPr>
      </w:pPr>
      <w:r w:rsidRPr="00DC6EE1">
        <w:rPr>
          <w:rFonts w:eastAsia="Times New Roman" w:cs="Arial"/>
          <w:lang w:val="en-GB" w:eastAsia="en-AU"/>
        </w:rPr>
        <w:t>to patients requiring continued postoperative analgesia (ie patients discharge from hospital) provided:</w:t>
      </w:r>
    </w:p>
    <w:p w14:paraId="5DCB2E20" w14:textId="69BA0200" w:rsidR="00766882" w:rsidRPr="00DC6EE1" w:rsidRDefault="00766882" w:rsidP="00DC6EE1">
      <w:pPr>
        <w:pStyle w:val="ListParagraph"/>
        <w:numPr>
          <w:ilvl w:val="0"/>
          <w:numId w:val="33"/>
        </w:numPr>
        <w:spacing w:after="0"/>
        <w:rPr>
          <w:rFonts w:eastAsia="Times New Roman" w:cs="Arial"/>
          <w:lang w:val="en-GB" w:eastAsia="en-AU"/>
        </w:rPr>
      </w:pPr>
      <w:r w:rsidRPr="00DC6EE1">
        <w:rPr>
          <w:rFonts w:eastAsia="Times New Roman" w:cs="Arial"/>
          <w:lang w:val="en-GB" w:eastAsia="en-AU"/>
        </w:rPr>
        <w:t>there is no increase in opioid analgesic requirements</w:t>
      </w:r>
    </w:p>
    <w:p w14:paraId="56B5777C" w14:textId="4DCCCADC" w:rsidR="00766882" w:rsidRPr="00DC6EE1" w:rsidRDefault="00766882" w:rsidP="00DC6EE1">
      <w:pPr>
        <w:pStyle w:val="ListParagraph"/>
        <w:numPr>
          <w:ilvl w:val="0"/>
          <w:numId w:val="33"/>
        </w:numPr>
        <w:spacing w:after="0"/>
        <w:rPr>
          <w:rFonts w:eastAsia="Times New Roman" w:cs="Arial"/>
          <w:lang w:val="en-GB" w:eastAsia="en-AU"/>
        </w:rPr>
      </w:pPr>
      <w:r w:rsidRPr="00DC6EE1">
        <w:rPr>
          <w:rFonts w:eastAsia="Times New Roman" w:cs="Arial"/>
          <w:lang w:val="en-GB" w:eastAsia="en-AU"/>
        </w:rPr>
        <w:t>a plan to reduce and cease all opioid analgesia within a fortnight for most surgery, but up to 6 weeks for joint replacement or thoracotomy is undertaken</w:t>
      </w:r>
    </w:p>
    <w:p w14:paraId="0AB5C58A" w14:textId="4A1EB335" w:rsidR="00766882" w:rsidRPr="00DC6EE1" w:rsidRDefault="00766882" w:rsidP="00DC6EE1">
      <w:pPr>
        <w:pStyle w:val="ListParagraph"/>
        <w:numPr>
          <w:ilvl w:val="0"/>
          <w:numId w:val="33"/>
        </w:numPr>
        <w:spacing w:after="0"/>
        <w:rPr>
          <w:rFonts w:eastAsia="Times New Roman" w:cs="Arial"/>
          <w:lang w:val="en-GB" w:eastAsia="en-AU"/>
        </w:rPr>
      </w:pPr>
      <w:r w:rsidRPr="00DC6EE1">
        <w:rPr>
          <w:rFonts w:eastAsia="Times New Roman" w:cs="Arial"/>
          <w:lang w:val="en-GB" w:eastAsia="en-AU"/>
        </w:rPr>
        <w:t>a consultation with a senior general practitioner at the [Insert practice name] has occurred.</w:t>
      </w:r>
    </w:p>
    <w:p w14:paraId="51678E3B" w14:textId="35F52A26" w:rsidR="00766882" w:rsidRPr="00DC6EE1" w:rsidRDefault="00766882" w:rsidP="00456574">
      <w:pPr>
        <w:pStyle w:val="ListParagraph"/>
        <w:numPr>
          <w:ilvl w:val="0"/>
          <w:numId w:val="38"/>
        </w:numPr>
        <w:spacing w:after="0"/>
        <w:rPr>
          <w:rFonts w:eastAsia="Times New Roman" w:cs="Arial"/>
          <w:lang w:val="en-GB" w:eastAsia="en-AU"/>
        </w:rPr>
      </w:pPr>
      <w:r w:rsidRPr="00DC6EE1">
        <w:rPr>
          <w:rFonts w:eastAsia="Times New Roman" w:cs="Arial"/>
          <w:lang w:val="en-GB" w:eastAsia="en-AU"/>
        </w:rPr>
        <w:t>Registrars are not permitted to continue analgesic plans initiated at other practices or healthcare facilities without the review of a senior general practitioner at the [Insert practice name].</w:t>
      </w:r>
    </w:p>
    <w:p w14:paraId="54579F5F" w14:textId="77777777" w:rsidR="00766882" w:rsidRDefault="00766882" w:rsidP="00766882">
      <w:pPr>
        <w:spacing w:after="0"/>
        <w:contextualSpacing/>
        <w:rPr>
          <w:rFonts w:eastAsia="Times New Roman" w:cs="Arial"/>
          <w:lang w:val="en-GB" w:eastAsia="en-AU"/>
        </w:rPr>
      </w:pPr>
    </w:p>
    <w:p w14:paraId="44069D20" w14:textId="77777777" w:rsidR="000A44B9" w:rsidRPr="000A44B9" w:rsidRDefault="000A44B9" w:rsidP="00766882">
      <w:pPr>
        <w:spacing w:after="0"/>
        <w:contextualSpacing/>
        <w:rPr>
          <w:rFonts w:eastAsia="Times New Roman" w:cs="Arial"/>
          <w:b/>
          <w:lang w:val="en-GB" w:eastAsia="en-AU"/>
        </w:rPr>
      </w:pPr>
      <w:r w:rsidRPr="000A44B9">
        <w:rPr>
          <w:rFonts w:eastAsia="Times New Roman" w:cs="Arial"/>
          <w:b/>
          <w:lang w:val="en-GB" w:eastAsia="en-AU"/>
        </w:rPr>
        <w:t xml:space="preserve">Benzodiazepines </w:t>
      </w:r>
    </w:p>
    <w:p w14:paraId="0A32DD90" w14:textId="4CC6A28D" w:rsidR="00766882" w:rsidRDefault="000A44B9" w:rsidP="00766882">
      <w:pPr>
        <w:spacing w:after="0"/>
        <w:contextualSpacing/>
        <w:rPr>
          <w:rFonts w:eastAsia="Times New Roman" w:cs="Arial"/>
          <w:lang w:val="en-GB" w:eastAsia="en-AU"/>
        </w:rPr>
      </w:pPr>
      <w:r w:rsidRPr="000A44B9">
        <w:rPr>
          <w:rFonts w:eastAsia="Times New Roman" w:cs="Arial"/>
          <w:lang w:val="en-GB" w:eastAsia="en-AU"/>
        </w:rPr>
        <w:t xml:space="preserve">Benzodiazepine </w:t>
      </w:r>
      <w:r w:rsidRPr="000A44B9">
        <w:rPr>
          <w:rFonts w:eastAsia="Times New Roman" w:cs="Arial"/>
          <w:b/>
          <w:lang w:val="en-GB" w:eastAsia="en-AU"/>
        </w:rPr>
        <w:t>initiation</w:t>
      </w:r>
      <w:r w:rsidRPr="000A44B9">
        <w:rPr>
          <w:rFonts w:eastAsia="Times New Roman" w:cs="Arial"/>
          <w:lang w:val="en-GB" w:eastAsia="en-AU"/>
        </w:rPr>
        <w:t>:</w:t>
      </w:r>
    </w:p>
    <w:p w14:paraId="627897CB" w14:textId="2D3123CC" w:rsidR="000A44B9" w:rsidRPr="00DC6EE1" w:rsidRDefault="000A44B9" w:rsidP="00DC6EE1">
      <w:pPr>
        <w:pStyle w:val="ListParagraph"/>
        <w:numPr>
          <w:ilvl w:val="0"/>
          <w:numId w:val="40"/>
        </w:numPr>
        <w:spacing w:after="0"/>
        <w:rPr>
          <w:rFonts w:eastAsia="Times New Roman" w:cs="Arial"/>
          <w:lang w:val="en-GB" w:eastAsia="en-AU"/>
        </w:rPr>
      </w:pPr>
      <w:r w:rsidRPr="00DC6EE1">
        <w:rPr>
          <w:rFonts w:eastAsia="Times New Roman" w:cs="Arial"/>
          <w:lang w:val="en-GB" w:eastAsia="en-AU"/>
        </w:rPr>
        <w:t>Initiation is limited to a single pack (25 tablets) of temazepam 10 mg tablets with no repeats for short-term intermittent use.</w:t>
      </w:r>
    </w:p>
    <w:p w14:paraId="66802CC4" w14:textId="47C63E0A" w:rsidR="000A44B9" w:rsidRPr="00DC6EE1" w:rsidRDefault="000A44B9" w:rsidP="00DC30E8">
      <w:pPr>
        <w:pStyle w:val="ListParagraph"/>
        <w:numPr>
          <w:ilvl w:val="0"/>
          <w:numId w:val="42"/>
        </w:numPr>
        <w:spacing w:after="0"/>
        <w:rPr>
          <w:rFonts w:eastAsia="Times New Roman" w:cs="Arial"/>
          <w:lang w:val="en-GB" w:eastAsia="en-AU"/>
        </w:rPr>
      </w:pPr>
      <w:r w:rsidRPr="00DC6EE1">
        <w:rPr>
          <w:rFonts w:eastAsia="Times New Roman" w:cs="Arial"/>
          <w:lang w:val="en-GB" w:eastAsia="en-AU"/>
        </w:rPr>
        <w:t>This is in association with a full clinical assessment, documentation of indication for use, as a therapy adjunct to addressing the primary causal issue.</w:t>
      </w:r>
    </w:p>
    <w:p w14:paraId="4E402E4E" w14:textId="054B3A5B" w:rsidR="000A44B9" w:rsidRDefault="000A44B9" w:rsidP="000A44B9">
      <w:pPr>
        <w:spacing w:after="0"/>
        <w:contextualSpacing/>
        <w:rPr>
          <w:rFonts w:eastAsia="Times New Roman" w:cs="Arial"/>
          <w:lang w:val="en-GB" w:eastAsia="en-AU"/>
        </w:rPr>
      </w:pPr>
      <w:r w:rsidRPr="000A44B9">
        <w:rPr>
          <w:rFonts w:eastAsia="Times New Roman" w:cs="Arial"/>
          <w:lang w:val="en-GB" w:eastAsia="en-AU"/>
        </w:rPr>
        <w:t xml:space="preserve">Benzodiazepine </w:t>
      </w:r>
      <w:r w:rsidRPr="000A44B9">
        <w:rPr>
          <w:rFonts w:eastAsia="Times New Roman" w:cs="Arial"/>
          <w:b/>
          <w:lang w:val="en-GB" w:eastAsia="en-AU"/>
        </w:rPr>
        <w:t>continuation</w:t>
      </w:r>
      <w:r>
        <w:rPr>
          <w:rFonts w:eastAsia="Times New Roman" w:cs="Arial"/>
          <w:lang w:val="en-GB" w:eastAsia="en-AU"/>
        </w:rPr>
        <w:t>:</w:t>
      </w:r>
    </w:p>
    <w:p w14:paraId="5C219F44" w14:textId="2FCB4FA8" w:rsidR="000A44B9" w:rsidRPr="00DC6EE1" w:rsidRDefault="000A44B9" w:rsidP="00DC6EE1">
      <w:pPr>
        <w:pStyle w:val="ListParagraph"/>
        <w:numPr>
          <w:ilvl w:val="0"/>
          <w:numId w:val="43"/>
        </w:numPr>
        <w:spacing w:after="0"/>
        <w:rPr>
          <w:rFonts w:eastAsia="Times New Roman" w:cs="Arial"/>
          <w:lang w:val="en-GB" w:eastAsia="en-AU"/>
        </w:rPr>
      </w:pPr>
      <w:r w:rsidRPr="00DC6EE1">
        <w:rPr>
          <w:rFonts w:eastAsia="Times New Roman" w:cs="Arial"/>
          <w:lang w:val="en-GB" w:eastAsia="en-AU"/>
        </w:rPr>
        <w:t>Registrars are permitted to supply continuation therapy to:</w:t>
      </w:r>
    </w:p>
    <w:p w14:paraId="10E7D6E9" w14:textId="24E7BE2A" w:rsidR="000A44B9" w:rsidRPr="00DC6EE1" w:rsidRDefault="000A44B9" w:rsidP="00DC30E8">
      <w:pPr>
        <w:pStyle w:val="ListParagraph"/>
        <w:numPr>
          <w:ilvl w:val="0"/>
          <w:numId w:val="45"/>
        </w:numPr>
        <w:spacing w:after="0"/>
        <w:rPr>
          <w:rFonts w:eastAsia="Times New Roman" w:cs="Arial"/>
          <w:lang w:val="en-GB" w:eastAsia="en-AU"/>
        </w:rPr>
      </w:pPr>
      <w:r w:rsidRPr="00DC6EE1">
        <w:rPr>
          <w:rFonts w:eastAsia="Times New Roman" w:cs="Arial"/>
          <w:lang w:val="en-GB" w:eastAsia="en-AU"/>
        </w:rPr>
        <w:t>long-term patients of the practice who are on stable medication regimes, in the absence of their usual practitioner.</w:t>
      </w:r>
    </w:p>
    <w:p w14:paraId="316EDE19" w14:textId="0194D929" w:rsidR="000A44B9" w:rsidRPr="00DC6EE1" w:rsidRDefault="000A44B9" w:rsidP="00DC6EE1">
      <w:pPr>
        <w:pStyle w:val="ListParagraph"/>
        <w:numPr>
          <w:ilvl w:val="0"/>
          <w:numId w:val="43"/>
        </w:numPr>
        <w:spacing w:after="0"/>
        <w:rPr>
          <w:rFonts w:eastAsia="Times New Roman" w:cs="Arial"/>
          <w:lang w:val="en-GB" w:eastAsia="en-AU"/>
        </w:rPr>
      </w:pPr>
      <w:r w:rsidRPr="00DC6EE1">
        <w:rPr>
          <w:rFonts w:eastAsia="Times New Roman" w:cs="Arial"/>
          <w:lang w:val="en-GB" w:eastAsia="en-AU"/>
        </w:rPr>
        <w:t>The continuation of alprazolam is restricted to the usual senior general practitioner in the practice.</w:t>
      </w:r>
    </w:p>
    <w:p w14:paraId="67E2AA00" w14:textId="77777777" w:rsidR="000A44B9" w:rsidRDefault="000A44B9" w:rsidP="000A44B9">
      <w:pPr>
        <w:spacing w:after="0"/>
        <w:contextualSpacing/>
        <w:rPr>
          <w:rFonts w:eastAsia="Times New Roman" w:cs="Arial"/>
          <w:lang w:val="en-GB" w:eastAsia="en-AU"/>
        </w:rPr>
      </w:pPr>
    </w:p>
    <w:p w14:paraId="4E6F61ED" w14:textId="61F0B4A6" w:rsidR="000A44B9" w:rsidRPr="00766882" w:rsidRDefault="000A44B9" w:rsidP="000A44B9">
      <w:pPr>
        <w:spacing w:after="0"/>
        <w:contextualSpacing/>
        <w:rPr>
          <w:rFonts w:eastAsia="Times New Roman" w:cs="Arial"/>
          <w:lang w:val="en-GB" w:eastAsia="en-AU"/>
        </w:rPr>
      </w:pPr>
      <w:r w:rsidRPr="000A44B9">
        <w:rPr>
          <w:rFonts w:eastAsia="Times New Roman" w:cs="Arial"/>
          <w:lang w:val="en-GB" w:eastAsia="en-AU"/>
        </w:rPr>
        <w:t>Refer to the RACGP opioid and benzodiazepine guides for other relevant information to include (eg driving ability)</w:t>
      </w:r>
    </w:p>
    <w:p w14:paraId="2FE62AE3" w14:textId="77777777" w:rsidR="00766882" w:rsidRDefault="00766882" w:rsidP="00766882">
      <w:pPr>
        <w:spacing w:after="0"/>
        <w:contextualSpacing/>
        <w:rPr>
          <w:rFonts w:eastAsia="Times New Roman" w:cs="Arial"/>
          <w:color w:val="0070C0"/>
          <w:sz w:val="32"/>
          <w:szCs w:val="32"/>
          <w:lang w:val="en-GB" w:eastAsia="en-AU"/>
        </w:rPr>
      </w:pPr>
    </w:p>
    <w:p w14:paraId="24217BB5" w14:textId="77777777" w:rsidR="002C4C1B" w:rsidRDefault="002C4C1B" w:rsidP="006D1284">
      <w:pPr>
        <w:spacing w:after="0"/>
        <w:contextualSpacing/>
        <w:rPr>
          <w:rFonts w:eastAsia="Times New Roman" w:cs="Arial"/>
          <w:color w:val="0070C0"/>
          <w:sz w:val="32"/>
          <w:szCs w:val="32"/>
          <w:lang w:val="en-GB" w:eastAsia="en-AU"/>
        </w:rPr>
      </w:pPr>
    </w:p>
    <w:p w14:paraId="0DEC2AB6" w14:textId="77777777" w:rsidR="00222A21" w:rsidRDefault="00222A21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3875AC20" w14:textId="77777777" w:rsidR="00222A21" w:rsidRDefault="00222A21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34C3E293" w14:textId="77777777" w:rsidR="00222A21" w:rsidRDefault="00222A21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02593A2C" w14:textId="77777777" w:rsidR="00222A21" w:rsidRDefault="00222A21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3D3B6511" w14:textId="77777777" w:rsidR="006D1284" w:rsidRDefault="006D1284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  <w:r>
        <w:rPr>
          <w:rFonts w:eastAsia="Times New Roman" w:cs="Arial"/>
          <w:color w:val="0070C0"/>
          <w:sz w:val="28"/>
          <w:szCs w:val="28"/>
          <w:lang w:val="en-GB" w:eastAsia="en-AU"/>
        </w:rPr>
        <w:t>Disclaimer</w:t>
      </w:r>
    </w:p>
    <w:p w14:paraId="0E9A1397" w14:textId="77777777" w:rsidR="00222A21" w:rsidRPr="0002280E" w:rsidRDefault="00222A21" w:rsidP="00222A21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  <w:r w:rsidRPr="0002280E">
        <w:rPr>
          <w:rFonts w:cs="Arial"/>
          <w:sz w:val="16"/>
          <w:szCs w:val="16"/>
        </w:rPr>
        <w:t>The information set out in this publication is current at the date of first publication and is intended for use as a guide of a general nature only and may or may not be relevant to particular patients or circumstances. Nor is this publication exhaustive of the subject matter.</w:t>
      </w:r>
      <w:r>
        <w:rPr>
          <w:rFonts w:cs="Arial"/>
          <w:sz w:val="16"/>
          <w:szCs w:val="16"/>
        </w:rPr>
        <w:t xml:space="preserve"> It is no substitute for individual inquiry. </w:t>
      </w:r>
      <w:r w:rsidRPr="0002280E">
        <w:rPr>
          <w:rFonts w:cs="Arial"/>
          <w:sz w:val="16"/>
          <w:szCs w:val="16"/>
        </w:rPr>
        <w:t xml:space="preserve">Compliance with any recommendations </w:t>
      </w:r>
      <w:r>
        <w:rPr>
          <w:rFonts w:cs="Arial"/>
          <w:sz w:val="16"/>
          <w:szCs w:val="16"/>
        </w:rPr>
        <w:t>does not</w:t>
      </w:r>
      <w:r w:rsidRPr="0002280E">
        <w:rPr>
          <w:rFonts w:cs="Arial"/>
          <w:sz w:val="16"/>
          <w:szCs w:val="16"/>
        </w:rPr>
        <w:t xml:space="preserve"> guarantee discharge of the duty of care owed to patients</w:t>
      </w:r>
      <w:r>
        <w:rPr>
          <w:rFonts w:cs="Arial"/>
          <w:sz w:val="16"/>
          <w:szCs w:val="16"/>
        </w:rPr>
        <w:t xml:space="preserve">. </w:t>
      </w:r>
      <w:r w:rsidRPr="0002280E">
        <w:rPr>
          <w:rFonts w:cs="Arial"/>
          <w:sz w:val="16"/>
          <w:szCs w:val="16"/>
        </w:rPr>
        <w:t xml:space="preserve">The RACGP and its employees and agents </w:t>
      </w:r>
      <w:r>
        <w:rPr>
          <w:rFonts w:cs="Arial"/>
          <w:sz w:val="16"/>
          <w:szCs w:val="16"/>
        </w:rPr>
        <w:t>have</w:t>
      </w:r>
      <w:r w:rsidRPr="0002280E">
        <w:rPr>
          <w:rFonts w:cs="Arial"/>
          <w:sz w:val="16"/>
          <w:szCs w:val="16"/>
        </w:rPr>
        <w:t xml:space="preserve"> no liability (including </w:t>
      </w:r>
      <w:r>
        <w:rPr>
          <w:rFonts w:cs="Arial"/>
          <w:sz w:val="16"/>
          <w:szCs w:val="16"/>
        </w:rPr>
        <w:t>for</w:t>
      </w:r>
      <w:r w:rsidRPr="0002280E">
        <w:rPr>
          <w:rFonts w:cs="Arial"/>
          <w:sz w:val="16"/>
          <w:szCs w:val="16"/>
        </w:rPr>
        <w:t xml:space="preserve"> negligence) to any users of the information contained in this publication</w:t>
      </w:r>
      <w:r>
        <w:rPr>
          <w:rFonts w:cs="Arial"/>
          <w:sz w:val="16"/>
          <w:szCs w:val="16"/>
        </w:rPr>
        <w:t>.</w:t>
      </w:r>
      <w:r w:rsidRPr="0002280E">
        <w:rPr>
          <w:rFonts w:cs="Arial"/>
          <w:sz w:val="16"/>
          <w:szCs w:val="16"/>
        </w:rPr>
        <w:t xml:space="preserve"> </w:t>
      </w:r>
    </w:p>
    <w:p w14:paraId="47EE3D47" w14:textId="77777777" w:rsidR="00222A21" w:rsidRPr="0002280E" w:rsidRDefault="00222A21" w:rsidP="00222A21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14:paraId="19B1BA31" w14:textId="31CF905A" w:rsidR="00222A21" w:rsidRPr="00752A7F" w:rsidRDefault="00222A21" w:rsidP="00222A21">
      <w:pPr>
        <w:spacing w:after="0" w:line="240" w:lineRule="auto"/>
        <w:rPr>
          <w:rFonts w:cs="Arial"/>
          <w:sz w:val="16"/>
          <w:szCs w:val="16"/>
        </w:rPr>
      </w:pPr>
      <w:r w:rsidRPr="0002280E">
        <w:rPr>
          <w:rFonts w:cs="Arial"/>
          <w:sz w:val="16"/>
          <w:szCs w:val="16"/>
        </w:rPr>
        <w:t xml:space="preserve">© The Royal Australian College of General Practitioners </w:t>
      </w:r>
      <w:r w:rsidR="00752A7F" w:rsidRPr="00752A7F">
        <w:rPr>
          <w:rFonts w:cs="Arial"/>
          <w:sz w:val="16"/>
          <w:szCs w:val="16"/>
        </w:rPr>
        <w:t>[2019</w:t>
      </w:r>
      <w:r w:rsidRPr="00752A7F">
        <w:rPr>
          <w:rFonts w:cs="Arial"/>
          <w:sz w:val="16"/>
          <w:szCs w:val="16"/>
        </w:rPr>
        <w:t>]</w:t>
      </w:r>
    </w:p>
    <w:p w14:paraId="5240A4C5" w14:textId="77777777" w:rsidR="00222A21" w:rsidRPr="0002280E" w:rsidRDefault="00222A21" w:rsidP="00222A21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14:paraId="14FDF189" w14:textId="77777777" w:rsidR="00222A21" w:rsidRDefault="00BE2650" w:rsidP="00222A21">
      <w:pPr>
        <w:spacing w:after="0" w:line="240" w:lineRule="auto"/>
        <w:rPr>
          <w:rFonts w:cs="Arial"/>
          <w:sz w:val="16"/>
          <w:szCs w:val="16"/>
        </w:rPr>
      </w:pPr>
      <w:hyperlink r:id="rId8" w:history="1"/>
      <w:hyperlink r:id="rId9" w:history="1">
        <w:r w:rsidR="00222A21" w:rsidRPr="000871B9">
          <w:rPr>
            <w:rFonts w:cs="Arial"/>
            <w:sz w:val="16"/>
            <w:szCs w:val="16"/>
          </w:rPr>
          <w:t>This</w:t>
        </w:r>
      </w:hyperlink>
      <w:r w:rsidR="00222A21" w:rsidRPr="000871B9">
        <w:rPr>
          <w:rFonts w:cs="Arial"/>
          <w:sz w:val="16"/>
          <w:szCs w:val="16"/>
        </w:rPr>
        <w:t xml:space="preserve"> resource is provided under licence by the RACGP. Full terms are available at </w:t>
      </w:r>
      <w:hyperlink r:id="rId10" w:history="1">
        <w:r w:rsidR="00222A21" w:rsidRPr="000871B9">
          <w:rPr>
            <w:rStyle w:val="Hyperlink"/>
            <w:rFonts w:cs="Arial"/>
            <w:sz w:val="16"/>
            <w:szCs w:val="16"/>
          </w:rPr>
          <w:t>www.racgp.org.au/usage/licence</w:t>
        </w:r>
      </w:hyperlink>
      <w:r w:rsidR="00222A21">
        <w:rPr>
          <w:rFonts w:cs="Arial"/>
          <w:sz w:val="16"/>
          <w:szCs w:val="16"/>
        </w:rPr>
        <w:t xml:space="preserve"> </w:t>
      </w:r>
    </w:p>
    <w:p w14:paraId="6D27D1AF" w14:textId="77777777" w:rsidR="00222A21" w:rsidRDefault="00222A21" w:rsidP="00222A21">
      <w:pPr>
        <w:spacing w:after="0" w:line="240" w:lineRule="auto"/>
        <w:rPr>
          <w:rFonts w:cs="Arial"/>
          <w:sz w:val="16"/>
          <w:szCs w:val="16"/>
        </w:rPr>
      </w:pPr>
    </w:p>
    <w:p w14:paraId="2BA41A44" w14:textId="77777777" w:rsidR="00222A21" w:rsidRPr="0002280E" w:rsidRDefault="00222A21" w:rsidP="00222A21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  <w:r w:rsidRPr="00787505">
        <w:rPr>
          <w:rFonts w:cs="Arial"/>
          <w:i/>
          <w:sz w:val="16"/>
          <w:szCs w:val="16"/>
        </w:rPr>
        <w:t>We acknowledge the Traditional Custodians of the lands and seas on which we work and live, and pay our respects to Elders, past, present and future.</w:t>
      </w:r>
    </w:p>
    <w:p w14:paraId="7FA0F5C5" w14:textId="77777777" w:rsidR="006D1284" w:rsidRDefault="006D1284" w:rsidP="006D1284"/>
    <w:p w14:paraId="68AAD35B" w14:textId="40CF28A2" w:rsidR="00062BE7" w:rsidRPr="006D1284" w:rsidRDefault="00062BE7" w:rsidP="006D1284"/>
    <w:sectPr w:rsidR="00062BE7" w:rsidRPr="006D1284" w:rsidSect="001D0673">
      <w:headerReference w:type="default" r:id="rId11"/>
      <w:footerReference w:type="default" r:id="rId12"/>
      <w:pgSz w:w="11906" w:h="16838"/>
      <w:pgMar w:top="226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9D64F" w14:textId="77777777" w:rsidR="008C7DFE" w:rsidRDefault="0071358B">
      <w:pPr>
        <w:spacing w:after="0" w:line="240" w:lineRule="auto"/>
      </w:pPr>
      <w:r>
        <w:separator/>
      </w:r>
    </w:p>
  </w:endnote>
  <w:endnote w:type="continuationSeparator" w:id="0">
    <w:p w14:paraId="7B5B36B5" w14:textId="77777777" w:rsidR="008C7DFE" w:rsidRDefault="00713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lantinMTStd-LightItalic">
    <w:altName w:val="MV Boli"/>
    <w:charset w:val="00"/>
    <w:family w:val="roman"/>
    <w:pitch w:val="variable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510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1D7ED7" w14:textId="03C92249" w:rsidR="001D0673" w:rsidRDefault="001D0673" w:rsidP="001D0673">
        <w:pPr>
          <w:pStyle w:val="Footer"/>
        </w:pPr>
      </w:p>
      <w:p w14:paraId="5597AD4F" w14:textId="22868F08" w:rsidR="00865FA8" w:rsidRDefault="00120180" w:rsidP="004764D3">
        <w:pPr>
          <w:pStyle w:val="Footer"/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26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6E09A2C" w14:textId="77777777" w:rsidR="00865FA8" w:rsidRDefault="00BE26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E9085" w14:textId="77777777" w:rsidR="008C7DFE" w:rsidRDefault="0071358B">
      <w:pPr>
        <w:spacing w:after="0" w:line="240" w:lineRule="auto"/>
      </w:pPr>
      <w:r>
        <w:separator/>
      </w:r>
    </w:p>
  </w:footnote>
  <w:footnote w:type="continuationSeparator" w:id="0">
    <w:p w14:paraId="7F4332B3" w14:textId="77777777" w:rsidR="008C7DFE" w:rsidRDefault="00713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14C8A" w14:textId="498F7963" w:rsidR="00865FA8" w:rsidRDefault="0012018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216" behindDoc="1" locked="0" layoutInCell="1" allowOverlap="1" wp14:anchorId="24DF3E5C" wp14:editId="0DF3A4B4">
          <wp:simplePos x="914400" y="447675"/>
          <wp:positionH relativeFrom="page">
            <wp:align>left</wp:align>
          </wp:positionH>
          <wp:positionV relativeFrom="page">
            <wp:align>top</wp:align>
          </wp:positionV>
          <wp:extent cx="7540953" cy="10666799"/>
          <wp:effectExtent l="0" t="0" r="3175" b="127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CGP_letterhead_June201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953" cy="10666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66EE"/>
    <w:multiLevelType w:val="hybridMultilevel"/>
    <w:tmpl w:val="B484DD9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811FC"/>
    <w:multiLevelType w:val="hybridMultilevel"/>
    <w:tmpl w:val="96E08FE8"/>
    <w:lvl w:ilvl="0" w:tplc="D0689D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1370E"/>
    <w:multiLevelType w:val="hybridMultilevel"/>
    <w:tmpl w:val="974A6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07874"/>
    <w:multiLevelType w:val="hybridMultilevel"/>
    <w:tmpl w:val="7CE4B3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DB172B"/>
    <w:multiLevelType w:val="hybridMultilevel"/>
    <w:tmpl w:val="7018C746"/>
    <w:lvl w:ilvl="0" w:tplc="38B6E922">
      <w:start w:val="9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1F4604"/>
    <w:multiLevelType w:val="hybridMultilevel"/>
    <w:tmpl w:val="A82E7FC0"/>
    <w:lvl w:ilvl="0" w:tplc="0C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32258B"/>
    <w:multiLevelType w:val="hybridMultilevel"/>
    <w:tmpl w:val="A736428E"/>
    <w:lvl w:ilvl="0" w:tplc="44909A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64226"/>
    <w:multiLevelType w:val="hybridMultilevel"/>
    <w:tmpl w:val="4EA46A8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B693B"/>
    <w:multiLevelType w:val="hybridMultilevel"/>
    <w:tmpl w:val="927412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B30C8"/>
    <w:multiLevelType w:val="hybridMultilevel"/>
    <w:tmpl w:val="D4822396"/>
    <w:lvl w:ilvl="0" w:tplc="14126F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B2B6E"/>
    <w:multiLevelType w:val="hybridMultilevel"/>
    <w:tmpl w:val="875E902E"/>
    <w:lvl w:ilvl="0" w:tplc="FE942F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758D6"/>
    <w:multiLevelType w:val="hybridMultilevel"/>
    <w:tmpl w:val="07FE11D0"/>
    <w:lvl w:ilvl="0" w:tplc="000ACD6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9359C"/>
    <w:multiLevelType w:val="hybridMultilevel"/>
    <w:tmpl w:val="D3AE613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158C0"/>
    <w:multiLevelType w:val="hybridMultilevel"/>
    <w:tmpl w:val="273EF2E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233782"/>
    <w:multiLevelType w:val="hybridMultilevel"/>
    <w:tmpl w:val="83DADB7A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EE4B00"/>
    <w:multiLevelType w:val="hybridMultilevel"/>
    <w:tmpl w:val="E3049D0A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14EF4"/>
    <w:multiLevelType w:val="hybridMultilevel"/>
    <w:tmpl w:val="7EC0267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87FA01B0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25216C"/>
    <w:multiLevelType w:val="hybridMultilevel"/>
    <w:tmpl w:val="EB3637E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666DC2"/>
    <w:multiLevelType w:val="hybridMultilevel"/>
    <w:tmpl w:val="EE5A7AB6"/>
    <w:lvl w:ilvl="0" w:tplc="000ACD6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2A313D"/>
    <w:multiLevelType w:val="hybridMultilevel"/>
    <w:tmpl w:val="5F70E0C0"/>
    <w:lvl w:ilvl="0" w:tplc="0C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613414"/>
    <w:multiLevelType w:val="hybridMultilevel"/>
    <w:tmpl w:val="2C123720"/>
    <w:lvl w:ilvl="0" w:tplc="0C09001B">
      <w:start w:val="1"/>
      <w:numFmt w:val="lowerRoman"/>
      <w:lvlText w:val="%1."/>
      <w:lvlJc w:val="righ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92E3F36"/>
    <w:multiLevelType w:val="hybridMultilevel"/>
    <w:tmpl w:val="990CD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D36F5"/>
    <w:multiLevelType w:val="hybridMultilevel"/>
    <w:tmpl w:val="09FA060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30E93"/>
    <w:multiLevelType w:val="hybridMultilevel"/>
    <w:tmpl w:val="7EF6170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B35C0"/>
    <w:multiLevelType w:val="hybridMultilevel"/>
    <w:tmpl w:val="9048C61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364BAB"/>
    <w:multiLevelType w:val="hybridMultilevel"/>
    <w:tmpl w:val="0388F3E4"/>
    <w:lvl w:ilvl="0" w:tplc="57CA5B38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02118"/>
    <w:multiLevelType w:val="hybridMultilevel"/>
    <w:tmpl w:val="91F607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E738CC"/>
    <w:multiLevelType w:val="hybridMultilevel"/>
    <w:tmpl w:val="6652B0A0"/>
    <w:lvl w:ilvl="0" w:tplc="0C09001B">
      <w:start w:val="1"/>
      <w:numFmt w:val="lowerRoman"/>
      <w:lvlText w:val="%1."/>
      <w:lvlJc w:val="righ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802167F"/>
    <w:multiLevelType w:val="hybridMultilevel"/>
    <w:tmpl w:val="588EC220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2D25B7"/>
    <w:multiLevelType w:val="hybridMultilevel"/>
    <w:tmpl w:val="25801D04"/>
    <w:lvl w:ilvl="0" w:tplc="C23C00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3864F4"/>
    <w:multiLevelType w:val="hybridMultilevel"/>
    <w:tmpl w:val="8152C1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9D0AEA"/>
    <w:multiLevelType w:val="hybridMultilevel"/>
    <w:tmpl w:val="B05AE7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BD7474"/>
    <w:multiLevelType w:val="hybridMultilevel"/>
    <w:tmpl w:val="CB783DA2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C79226B"/>
    <w:multiLevelType w:val="hybridMultilevel"/>
    <w:tmpl w:val="433CDF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E31C93"/>
    <w:multiLevelType w:val="hybridMultilevel"/>
    <w:tmpl w:val="B450FA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827C73"/>
    <w:multiLevelType w:val="hybridMultilevel"/>
    <w:tmpl w:val="FEB27E2A"/>
    <w:lvl w:ilvl="0" w:tplc="0A7CB01E">
      <w:start w:val="9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C97A39"/>
    <w:multiLevelType w:val="hybridMultilevel"/>
    <w:tmpl w:val="49EC69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EC3373"/>
    <w:multiLevelType w:val="hybridMultilevel"/>
    <w:tmpl w:val="EC1E01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0256C5"/>
    <w:multiLevelType w:val="hybridMultilevel"/>
    <w:tmpl w:val="0EDEC38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82DD0"/>
    <w:multiLevelType w:val="hybridMultilevel"/>
    <w:tmpl w:val="95C2A77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B84A9C"/>
    <w:multiLevelType w:val="hybridMultilevel"/>
    <w:tmpl w:val="07AA516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40C"/>
    <w:multiLevelType w:val="hybridMultilevel"/>
    <w:tmpl w:val="A912C144"/>
    <w:lvl w:ilvl="0" w:tplc="000ACD6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E24E25"/>
    <w:multiLevelType w:val="hybridMultilevel"/>
    <w:tmpl w:val="9B4C4C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410B45"/>
    <w:multiLevelType w:val="hybridMultilevel"/>
    <w:tmpl w:val="7EC0267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87FA01B0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EF0061E"/>
    <w:multiLevelType w:val="hybridMultilevel"/>
    <w:tmpl w:val="7570E9A2"/>
    <w:lvl w:ilvl="0" w:tplc="000ACD6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F944BF"/>
    <w:multiLevelType w:val="multilevel"/>
    <w:tmpl w:val="E49E21A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sz w:val="24"/>
        <w:szCs w:val="24"/>
      </w:rPr>
    </w:lvl>
    <w:lvl w:ilvl="1">
      <w:start w:val="1"/>
      <w:numFmt w:val="none"/>
      <w:lvlText w:val="8A"/>
      <w:lvlJc w:val="left"/>
      <w:pPr>
        <w:tabs>
          <w:tab w:val="num" w:pos="850"/>
        </w:tabs>
        <w:ind w:left="850" w:hanging="850"/>
      </w:pPr>
    </w:lvl>
    <w:lvl w:ilvl="2">
      <w:start w:val="1"/>
      <w:numFmt w:val="lowerLetter"/>
      <w:lvlRestart w:val="0"/>
      <w:lvlText w:val="(%3)"/>
      <w:lvlJc w:val="left"/>
      <w:pPr>
        <w:tabs>
          <w:tab w:val="num" w:pos="2553"/>
        </w:tabs>
        <w:ind w:left="2553" w:hanging="851"/>
      </w:pPr>
      <w:rPr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2170"/>
        </w:tabs>
        <w:ind w:left="2170" w:hanging="850"/>
      </w:pPr>
    </w:lvl>
    <w:lvl w:ilvl="4">
      <w:start w:val="1"/>
      <w:numFmt w:val="upperLetter"/>
      <w:lvlText w:val="(%5)"/>
      <w:lvlJc w:val="left"/>
      <w:pPr>
        <w:tabs>
          <w:tab w:val="num" w:pos="3829"/>
        </w:tabs>
        <w:ind w:left="3829" w:hanging="851"/>
      </w:pPr>
    </w:lvl>
    <w:lvl w:ilvl="5">
      <w:start w:val="4"/>
      <w:numFmt w:val="decimal"/>
      <w:lvlRestart w:val="2"/>
      <w:lvlText w:val="(%6)"/>
      <w:lvlJc w:val="left"/>
      <w:pPr>
        <w:tabs>
          <w:tab w:val="num" w:pos="936"/>
        </w:tabs>
        <w:ind w:left="936" w:hanging="510"/>
      </w:pPr>
    </w:lvl>
    <w:lvl w:ilvl="6">
      <w:start w:val="1"/>
      <w:numFmt w:val="upperLetter"/>
      <w:lvlText w:val="(%6%7)"/>
      <w:lvlJc w:val="left"/>
      <w:pPr>
        <w:tabs>
          <w:tab w:val="num" w:pos="850"/>
        </w:tabs>
        <w:ind w:left="850" w:hanging="51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67"/>
        </w:tabs>
        <w:ind w:left="1582" w:hanging="1582"/>
      </w:pPr>
    </w:lvl>
  </w:abstractNum>
  <w:num w:numId="1">
    <w:abstractNumId w:val="42"/>
  </w:num>
  <w:num w:numId="2">
    <w:abstractNumId w:val="26"/>
  </w:num>
  <w:num w:numId="3">
    <w:abstractNumId w:val="32"/>
  </w:num>
  <w:num w:numId="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4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</w:num>
  <w:num w:numId="6">
    <w:abstractNumId w:val="2"/>
  </w:num>
  <w:num w:numId="7">
    <w:abstractNumId w:val="37"/>
  </w:num>
  <w:num w:numId="8">
    <w:abstractNumId w:val="36"/>
  </w:num>
  <w:num w:numId="9">
    <w:abstractNumId w:val="21"/>
  </w:num>
  <w:num w:numId="10">
    <w:abstractNumId w:val="30"/>
  </w:num>
  <w:num w:numId="11">
    <w:abstractNumId w:val="3"/>
  </w:num>
  <w:num w:numId="12">
    <w:abstractNumId w:val="44"/>
  </w:num>
  <w:num w:numId="13">
    <w:abstractNumId w:val="18"/>
  </w:num>
  <w:num w:numId="14">
    <w:abstractNumId w:val="11"/>
  </w:num>
  <w:num w:numId="15">
    <w:abstractNumId w:val="41"/>
  </w:num>
  <w:num w:numId="16">
    <w:abstractNumId w:val="5"/>
  </w:num>
  <w:num w:numId="17">
    <w:abstractNumId w:val="43"/>
  </w:num>
  <w:num w:numId="18">
    <w:abstractNumId w:val="1"/>
  </w:num>
  <w:num w:numId="19">
    <w:abstractNumId w:val="31"/>
  </w:num>
  <w:num w:numId="20">
    <w:abstractNumId w:val="0"/>
  </w:num>
  <w:num w:numId="21">
    <w:abstractNumId w:val="38"/>
  </w:num>
  <w:num w:numId="22">
    <w:abstractNumId w:val="14"/>
  </w:num>
  <w:num w:numId="23">
    <w:abstractNumId w:val="4"/>
  </w:num>
  <w:num w:numId="24">
    <w:abstractNumId w:val="28"/>
  </w:num>
  <w:num w:numId="25">
    <w:abstractNumId w:val="35"/>
  </w:num>
  <w:num w:numId="26">
    <w:abstractNumId w:val="22"/>
  </w:num>
  <w:num w:numId="27">
    <w:abstractNumId w:val="39"/>
  </w:num>
  <w:num w:numId="28">
    <w:abstractNumId w:val="6"/>
  </w:num>
  <w:num w:numId="29">
    <w:abstractNumId w:val="7"/>
  </w:num>
  <w:num w:numId="30">
    <w:abstractNumId w:val="27"/>
  </w:num>
  <w:num w:numId="31">
    <w:abstractNumId w:val="29"/>
  </w:num>
  <w:num w:numId="32">
    <w:abstractNumId w:val="23"/>
  </w:num>
  <w:num w:numId="33">
    <w:abstractNumId w:val="20"/>
  </w:num>
  <w:num w:numId="34">
    <w:abstractNumId w:val="9"/>
  </w:num>
  <w:num w:numId="35">
    <w:abstractNumId w:val="15"/>
  </w:num>
  <w:num w:numId="36">
    <w:abstractNumId w:val="33"/>
  </w:num>
  <w:num w:numId="37">
    <w:abstractNumId w:val="16"/>
  </w:num>
  <w:num w:numId="38">
    <w:abstractNumId w:val="19"/>
  </w:num>
  <w:num w:numId="39">
    <w:abstractNumId w:val="8"/>
  </w:num>
  <w:num w:numId="40">
    <w:abstractNumId w:val="13"/>
  </w:num>
  <w:num w:numId="41">
    <w:abstractNumId w:val="25"/>
  </w:num>
  <w:num w:numId="42">
    <w:abstractNumId w:val="40"/>
  </w:num>
  <w:num w:numId="43">
    <w:abstractNumId w:val="17"/>
  </w:num>
  <w:num w:numId="44">
    <w:abstractNumId w:val="10"/>
  </w:num>
  <w:num w:numId="45">
    <w:abstractNumId w:val="12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FB"/>
    <w:rsid w:val="00062BE7"/>
    <w:rsid w:val="000A44B9"/>
    <w:rsid w:val="00120180"/>
    <w:rsid w:val="001D0673"/>
    <w:rsid w:val="00222A21"/>
    <w:rsid w:val="002C4C1B"/>
    <w:rsid w:val="003736FB"/>
    <w:rsid w:val="003A7CE5"/>
    <w:rsid w:val="004416A5"/>
    <w:rsid w:val="00456574"/>
    <w:rsid w:val="00465E70"/>
    <w:rsid w:val="004A430C"/>
    <w:rsid w:val="005B1E07"/>
    <w:rsid w:val="005D3E10"/>
    <w:rsid w:val="006D1284"/>
    <w:rsid w:val="0071358B"/>
    <w:rsid w:val="00752A7F"/>
    <w:rsid w:val="00766882"/>
    <w:rsid w:val="008168BD"/>
    <w:rsid w:val="008509BF"/>
    <w:rsid w:val="008C7DFE"/>
    <w:rsid w:val="00A4502D"/>
    <w:rsid w:val="00B144DE"/>
    <w:rsid w:val="00BE2650"/>
    <w:rsid w:val="00BF419D"/>
    <w:rsid w:val="00DC30E8"/>
    <w:rsid w:val="00DC6EE1"/>
    <w:rsid w:val="00E24909"/>
    <w:rsid w:val="00E42E04"/>
    <w:rsid w:val="00E94D6E"/>
    <w:rsid w:val="00F4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63A1CD"/>
  <w15:chartTrackingRefBased/>
  <w15:docId w15:val="{164A6D1A-6769-4C89-B982-4112A1E5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6FB"/>
    <w:pPr>
      <w:spacing w:after="200" w:line="276" w:lineRule="auto"/>
    </w:pPr>
    <w:rPr>
      <w:rFonts w:ascii="Arial" w:hAnsi="Arial"/>
      <w:color w:val="282828"/>
      <w:sz w:val="20"/>
    </w:rPr>
  </w:style>
  <w:style w:type="paragraph" w:styleId="Heading1">
    <w:name w:val="heading 1"/>
    <w:aliases w:val="h1,c"/>
    <w:basedOn w:val="Normal"/>
    <w:next w:val="Normal"/>
    <w:link w:val="Heading1Char"/>
    <w:uiPriority w:val="9"/>
    <w:qFormat/>
    <w:rsid w:val="003736FB"/>
    <w:pPr>
      <w:keepNext/>
      <w:keepLines/>
      <w:spacing w:before="480" w:after="0"/>
      <w:outlineLvl w:val="0"/>
    </w:pPr>
    <w:rPr>
      <w:rFonts w:ascii="Georgia" w:eastAsiaTheme="majorEastAsia" w:hAnsi="Georgia" w:cstheme="majorBidi"/>
      <w:bCs/>
      <w:i/>
      <w:sz w:val="36"/>
      <w:szCs w:val="28"/>
    </w:rPr>
  </w:style>
  <w:style w:type="paragraph" w:styleId="Heading2">
    <w:name w:val="heading 2"/>
    <w:aliases w:val="h2,Contents Heading,Contents,- Main,3...,2m,Level 2 Head,h2 main heading,B Sub/Bold,B Sub/Bold1,B Sub/Bold2,B Sub/Bold11,h2 main heading1,h2 main heading2,B Sub/Bold3,B Sub/Bold12,h2 main heading3,B Sub/Bold4,B Sub/Bold13,H2,Para2,SubPara,body"/>
    <w:basedOn w:val="Normal"/>
    <w:next w:val="Normal"/>
    <w:link w:val="Heading2Char"/>
    <w:uiPriority w:val="9"/>
    <w:semiHidden/>
    <w:unhideWhenUsed/>
    <w:qFormat/>
    <w:rsid w:val="006D1284"/>
    <w:pPr>
      <w:keepNext/>
      <w:tabs>
        <w:tab w:val="num" w:pos="850"/>
      </w:tabs>
      <w:autoSpaceDE w:val="0"/>
      <w:autoSpaceDN w:val="0"/>
      <w:spacing w:before="240" w:after="60" w:line="240" w:lineRule="auto"/>
      <w:ind w:left="850" w:hanging="850"/>
      <w:outlineLvl w:val="1"/>
    </w:pPr>
    <w:rPr>
      <w:rFonts w:eastAsia="Times New Roman" w:cs="Arial"/>
      <w:iCs/>
      <w:color w:val="auto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c Char"/>
    <w:basedOn w:val="DefaultParagraphFont"/>
    <w:link w:val="Heading1"/>
    <w:uiPriority w:val="9"/>
    <w:rsid w:val="003736FB"/>
    <w:rPr>
      <w:rFonts w:ascii="Georgia" w:eastAsiaTheme="majorEastAsia" w:hAnsi="Georgia" w:cstheme="majorBidi"/>
      <w:bCs/>
      <w:i/>
      <w:color w:val="282828"/>
      <w:sz w:val="36"/>
      <w:szCs w:val="28"/>
    </w:rPr>
  </w:style>
  <w:style w:type="paragraph" w:styleId="Header">
    <w:name w:val="header"/>
    <w:basedOn w:val="Normal"/>
    <w:link w:val="HeaderChar"/>
    <w:uiPriority w:val="99"/>
    <w:unhideWhenUsed/>
    <w:rsid w:val="003736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6FB"/>
    <w:rPr>
      <w:rFonts w:ascii="Arial" w:hAnsi="Arial"/>
      <w:color w:val="282828"/>
      <w:sz w:val="20"/>
    </w:rPr>
  </w:style>
  <w:style w:type="paragraph" w:styleId="Footer">
    <w:name w:val="footer"/>
    <w:basedOn w:val="Normal"/>
    <w:link w:val="FooterChar"/>
    <w:uiPriority w:val="99"/>
    <w:unhideWhenUsed/>
    <w:rsid w:val="003736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6FB"/>
    <w:rPr>
      <w:rFonts w:ascii="Arial" w:hAnsi="Arial"/>
      <w:color w:val="282828"/>
      <w:sz w:val="20"/>
    </w:rPr>
  </w:style>
  <w:style w:type="paragraph" w:styleId="ListParagraph">
    <w:name w:val="List Paragraph"/>
    <w:basedOn w:val="Normal"/>
    <w:uiPriority w:val="34"/>
    <w:qFormat/>
    <w:rsid w:val="003736FB"/>
    <w:pPr>
      <w:ind w:left="720"/>
      <w:contextualSpacing/>
    </w:pPr>
  </w:style>
  <w:style w:type="character" w:styleId="Hyperlink">
    <w:name w:val="Hyperlink"/>
    <w:uiPriority w:val="99"/>
    <w:rsid w:val="003736FB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736FB"/>
    <w:pPr>
      <w:spacing w:line="240" w:lineRule="auto"/>
    </w:pPr>
    <w:rPr>
      <w:rFonts w:asciiTheme="minorHAnsi" w:hAnsiTheme="minorHAnsi"/>
      <w:color w:val="auto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36FB"/>
    <w:rPr>
      <w:sz w:val="20"/>
      <w:szCs w:val="20"/>
      <w:lang w:val="en-GB"/>
    </w:rPr>
  </w:style>
  <w:style w:type="paragraph" w:customStyle="1" w:styleId="MB-Body">
    <w:name w:val="MB - Body"/>
    <w:basedOn w:val="Normal"/>
    <w:qFormat/>
    <w:rsid w:val="003736FB"/>
    <w:pPr>
      <w:widowControl w:val="0"/>
      <w:spacing w:after="120" w:line="252" w:lineRule="auto"/>
      <w:ind w:right="57"/>
    </w:pPr>
    <w:rPr>
      <w:rFonts w:eastAsia="Arial" w:cs="Arial"/>
      <w:color w:val="231F20"/>
      <w:sz w:val="19"/>
      <w:szCs w:val="19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736F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6FB"/>
    <w:rPr>
      <w:rFonts w:ascii="Segoe UI" w:hAnsi="Segoe UI" w:cs="Segoe UI"/>
      <w:color w:val="282828"/>
      <w:sz w:val="18"/>
      <w:szCs w:val="18"/>
    </w:rPr>
  </w:style>
  <w:style w:type="character" w:customStyle="1" w:styleId="Heading2Char">
    <w:name w:val="Heading 2 Char"/>
    <w:aliases w:val="h2 Char,Contents Heading Char,Contents Char,- Main Char,3... Char,2m Char,Level 2 Head Char,h2 main heading Char,B Sub/Bold Char,B Sub/Bold1 Char,B Sub/Bold2 Char,B Sub/Bold11 Char,h2 main heading1 Char,h2 main heading2 Char,H2 Char"/>
    <w:basedOn w:val="DefaultParagraphFont"/>
    <w:link w:val="Heading2"/>
    <w:uiPriority w:val="9"/>
    <w:semiHidden/>
    <w:rsid w:val="006D1284"/>
    <w:rPr>
      <w:rFonts w:ascii="Arial" w:eastAsia="Times New Roman" w:hAnsi="Arial" w:cs="Arial"/>
      <w:iCs/>
      <w:sz w:val="24"/>
      <w:szCs w:val="28"/>
    </w:rPr>
  </w:style>
  <w:style w:type="paragraph" w:styleId="NoSpacing">
    <w:name w:val="No Spacing"/>
    <w:uiPriority w:val="1"/>
    <w:qFormat/>
    <w:rsid w:val="006D1284"/>
    <w:pPr>
      <w:tabs>
        <w:tab w:val="num" w:pos="2170"/>
      </w:tabs>
      <w:spacing w:after="0" w:line="240" w:lineRule="auto"/>
      <w:ind w:left="2170" w:hanging="850"/>
    </w:pPr>
  </w:style>
  <w:style w:type="paragraph" w:customStyle="1" w:styleId="Default">
    <w:name w:val="Default"/>
    <w:rsid w:val="006D1284"/>
    <w:pPr>
      <w:tabs>
        <w:tab w:val="num" w:pos="3829"/>
      </w:tabs>
      <w:autoSpaceDE w:val="0"/>
      <w:autoSpaceDN w:val="0"/>
      <w:adjustRightInd w:val="0"/>
      <w:spacing w:after="0" w:line="240" w:lineRule="auto"/>
      <w:ind w:left="3829" w:hanging="851"/>
    </w:pPr>
    <w:rPr>
      <w:rFonts w:ascii="Calibri" w:hAnsi="Calibri" w:cs="Calibri"/>
      <w:color w:val="000000"/>
      <w:sz w:val="24"/>
      <w:szCs w:val="24"/>
    </w:rPr>
  </w:style>
  <w:style w:type="paragraph" w:customStyle="1" w:styleId="MBHeader01">
    <w:name w:val="MB Header 01"/>
    <w:basedOn w:val="Normal"/>
    <w:qFormat/>
    <w:rsid w:val="006D1284"/>
    <w:pPr>
      <w:tabs>
        <w:tab w:val="num" w:pos="936"/>
      </w:tabs>
      <w:spacing w:before="360" w:after="60"/>
      <w:ind w:left="936" w:right="-23" w:hanging="510"/>
    </w:pPr>
    <w:rPr>
      <w:rFonts w:eastAsia="PlantinMTStd-LightItalic" w:cs="PlantinMTStd-LightItalic"/>
      <w:color w:val="4EAE87"/>
      <w:sz w:val="40"/>
      <w:szCs w:val="20"/>
    </w:rPr>
  </w:style>
  <w:style w:type="character" w:customStyle="1" w:styleId="HealthnumLevel5Char">
    <w:name w:val="Health (num) Level 5 Char"/>
    <w:link w:val="HealthnumLevel5"/>
    <w:locked/>
    <w:rsid w:val="006D1284"/>
    <w:rPr>
      <w:rFonts w:ascii="Times New Roman" w:eastAsia="Times New Roman" w:hAnsi="Times New Roman" w:cs="Times New Roman"/>
      <w:sz w:val="24"/>
      <w:szCs w:val="24"/>
    </w:rPr>
  </w:style>
  <w:style w:type="paragraph" w:customStyle="1" w:styleId="HealthnumLevel5">
    <w:name w:val="Health (num) Level 5"/>
    <w:basedOn w:val="Normal"/>
    <w:link w:val="HealthnumLevel5Char"/>
    <w:rsid w:val="006D1284"/>
    <w:pPr>
      <w:tabs>
        <w:tab w:val="num" w:pos="850"/>
        <w:tab w:val="num" w:pos="936"/>
      </w:tabs>
      <w:autoSpaceDE w:val="0"/>
      <w:autoSpaceDN w:val="0"/>
      <w:spacing w:before="180" w:after="0" w:line="260" w:lineRule="exact"/>
      <w:ind w:left="850" w:hanging="510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acgp.org.au/clinical-resources/clinical-guidelines/key-racgp-guidelines/view-all-racgp-guidelines/prescribing-drugs-of-dependence/prescribing-drugs-of-dependence-part-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racgp.org.au/usage/lice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hi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Hereward</dc:creator>
  <cp:keywords/>
  <dc:description/>
  <cp:lastModifiedBy>Kim Smith</cp:lastModifiedBy>
  <cp:revision>2</cp:revision>
  <dcterms:created xsi:type="dcterms:W3CDTF">2019-06-03T23:11:00Z</dcterms:created>
  <dcterms:modified xsi:type="dcterms:W3CDTF">2019-06-03T23:11:00Z</dcterms:modified>
</cp:coreProperties>
</file>