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3E114E5F" w:rsidR="002C4C1B" w:rsidRDefault="00E42E04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Restriction of prescribing rights for drugs of dependence practice policy template</w:t>
      </w:r>
    </w:p>
    <w:p w14:paraId="0A82AC92" w14:textId="619218AE" w:rsidR="005D3E10" w:rsidRDefault="005D3E10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Purpose: </w:t>
      </w:r>
    </w:p>
    <w:p w14:paraId="111BCFE8" w14:textId="29326F5F" w:rsidR="002C4C1B" w:rsidRDefault="002C4C1B" w:rsidP="002C4C1B">
      <w:pPr>
        <w:rPr>
          <w:rFonts w:cs="Arial"/>
          <w:color w:val="000000" w:themeColor="text1"/>
          <w:szCs w:val="20"/>
        </w:rPr>
      </w:pPr>
      <w:r w:rsidRPr="00C01661">
        <w:rPr>
          <w:rFonts w:cs="Arial"/>
          <w:color w:val="000000" w:themeColor="text1"/>
          <w:szCs w:val="20"/>
        </w:rPr>
        <w:t xml:space="preserve">To </w:t>
      </w:r>
      <w:r w:rsidR="00E42E04" w:rsidRPr="00E42E04">
        <w:rPr>
          <w:rFonts w:cs="Arial"/>
          <w:color w:val="000000" w:themeColor="text1"/>
          <w:szCs w:val="20"/>
        </w:rPr>
        <w:t>specify the scope and limitations to prescribing of dependence by general practice registrars.</w:t>
      </w:r>
    </w:p>
    <w:p w14:paraId="666F6DBE" w14:textId="77777777" w:rsidR="00F408D3" w:rsidRPr="00483679" w:rsidRDefault="00F408D3" w:rsidP="00F408D3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759FDDAD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766882">
        <w:rPr>
          <w:rFonts w:cs="Arial"/>
          <w:color w:val="0070C0"/>
          <w:sz w:val="36"/>
          <w:szCs w:val="24"/>
          <w:lang w:val="en-GB"/>
        </w:rPr>
        <w:t>restriction of prescribing rights for drugs of dependence</w:t>
      </w:r>
    </w:p>
    <w:p w14:paraId="744E29A0" w14:textId="77777777" w:rsidR="00766882" w:rsidRDefault="00766882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1BAA5723" w14:textId="519FB01F" w:rsidR="006D1284" w:rsidRDefault="006D1284" w:rsidP="006D1284">
      <w:pPr>
        <w:spacing w:after="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This pol</w:t>
      </w:r>
      <w:r w:rsidR="00BF419D">
        <w:rPr>
          <w:rFonts w:cs="Arial"/>
          <w:bCs/>
          <w:lang w:val="en-GB"/>
        </w:rPr>
        <w:t xml:space="preserve">icy </w:t>
      </w:r>
      <w:r w:rsidR="002C4C1B" w:rsidRPr="002C4C1B">
        <w:rPr>
          <w:rFonts w:cs="Arial"/>
          <w:bCs/>
          <w:lang w:val="en-GB"/>
        </w:rPr>
        <w:t>inform</w:t>
      </w:r>
      <w:r w:rsidR="002C4C1B">
        <w:rPr>
          <w:rFonts w:cs="Arial"/>
          <w:bCs/>
          <w:lang w:val="en-GB"/>
        </w:rPr>
        <w:t>s</w:t>
      </w:r>
      <w:r w:rsidR="002C4C1B" w:rsidRPr="002C4C1B">
        <w:rPr>
          <w:rFonts w:cs="Arial"/>
          <w:bCs/>
          <w:lang w:val="en-GB"/>
        </w:rPr>
        <w:t xml:space="preserve"> </w:t>
      </w:r>
      <w:r w:rsidR="00766882">
        <w:rPr>
          <w:rFonts w:cs="Arial"/>
          <w:bCs/>
          <w:lang w:val="en-GB"/>
        </w:rPr>
        <w:t xml:space="preserve">practice staff of the scope and limitations to prescribing drugs of dependence by general practice registrars. </w:t>
      </w:r>
    </w:p>
    <w:p w14:paraId="70018EC5" w14:textId="77777777" w:rsidR="00BF419D" w:rsidRDefault="00BF419D" w:rsidP="006D1284">
      <w:pPr>
        <w:spacing w:after="0"/>
        <w:rPr>
          <w:rFonts w:cs="Arial"/>
          <w:bCs/>
          <w:lang w:val="en-GB"/>
        </w:rPr>
      </w:pPr>
    </w:p>
    <w:p w14:paraId="407FD1E7" w14:textId="77777777" w:rsidR="00766882" w:rsidRP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Registrars at the [Insert practice name] are restricted in prescribing drugs of addiction and drugs of dependence to levels determined by the [Insert practice name] clinical governance team or supervising general practitioner.</w:t>
      </w:r>
    </w:p>
    <w:p w14:paraId="02A45673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Quality use of these drugs is an essential component of primary care. Ongoing experience, training and self-education in the use of these medications is required as part of training at the [Insert practice name].</w:t>
      </w:r>
    </w:p>
    <w:p w14:paraId="74C3780E" w14:textId="77777777" w:rsidR="00766882" w:rsidRP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6ABF054E" w14:textId="759530D9" w:rsidR="006D1284" w:rsidRPr="000A44B9" w:rsidRDefault="00766882" w:rsidP="00766882">
      <w:pPr>
        <w:spacing w:after="0"/>
        <w:contextualSpacing/>
        <w:rPr>
          <w:rFonts w:eastAsia="Times New Roman" w:cs="Arial"/>
          <w:b/>
          <w:lang w:val="en-GB" w:eastAsia="en-AU"/>
        </w:rPr>
      </w:pPr>
      <w:r w:rsidRPr="000A44B9">
        <w:rPr>
          <w:rFonts w:eastAsia="Times New Roman" w:cs="Arial"/>
          <w:b/>
          <w:lang w:val="en-GB" w:eastAsia="en-AU"/>
        </w:rPr>
        <w:t>Drugs restricted under this policy</w:t>
      </w:r>
    </w:p>
    <w:p w14:paraId="1E0A5365" w14:textId="77777777" w:rsidR="00766882" w:rsidRP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•</w:t>
      </w:r>
      <w:r w:rsidRPr="00766882">
        <w:rPr>
          <w:rFonts w:eastAsia="Times New Roman" w:cs="Arial"/>
          <w:lang w:val="en-GB" w:eastAsia="en-AU"/>
        </w:rPr>
        <w:tab/>
        <w:t>Opioid analgesics</w:t>
      </w:r>
    </w:p>
    <w:p w14:paraId="06DE258F" w14:textId="0D2E00EB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•</w:t>
      </w:r>
      <w:r w:rsidRPr="00766882">
        <w:rPr>
          <w:rFonts w:eastAsia="Times New Roman" w:cs="Arial"/>
          <w:lang w:val="en-GB" w:eastAsia="en-AU"/>
        </w:rPr>
        <w:tab/>
        <w:t>Benzodiazepines</w:t>
      </w:r>
    </w:p>
    <w:p w14:paraId="44E5304D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588B37B0" w14:textId="77777777" w:rsidR="00766882" w:rsidRPr="000A44B9" w:rsidRDefault="00766882" w:rsidP="00766882">
      <w:pPr>
        <w:spacing w:after="0"/>
        <w:contextualSpacing/>
        <w:rPr>
          <w:rFonts w:eastAsia="Times New Roman" w:cs="Arial"/>
          <w:i/>
          <w:color w:val="FF0000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 xml:space="preserve">Scope and limitations </w:t>
      </w:r>
      <w:r w:rsidRPr="000A44B9">
        <w:rPr>
          <w:rFonts w:eastAsia="Times New Roman" w:cs="Arial"/>
          <w:i/>
          <w:color w:val="FF0000"/>
          <w:lang w:val="en-GB" w:eastAsia="en-AU"/>
        </w:rPr>
        <w:t>[May be changed according to individual practice circumstances.]</w:t>
      </w:r>
    </w:p>
    <w:p w14:paraId="7B9DF601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4DB928AE" w14:textId="32A8585D" w:rsidR="00766882" w:rsidRPr="000A44B9" w:rsidRDefault="00766882" w:rsidP="00766882">
      <w:pPr>
        <w:spacing w:after="0"/>
        <w:contextualSpacing/>
        <w:rPr>
          <w:rFonts w:eastAsia="Times New Roman" w:cs="Arial"/>
          <w:b/>
          <w:lang w:val="en-GB" w:eastAsia="en-AU"/>
        </w:rPr>
      </w:pPr>
      <w:r w:rsidRPr="000A44B9">
        <w:rPr>
          <w:rFonts w:eastAsia="Times New Roman" w:cs="Arial"/>
          <w:b/>
          <w:lang w:val="en-GB" w:eastAsia="en-AU"/>
        </w:rPr>
        <w:t xml:space="preserve">Opioid (and other prescription) analgesics </w:t>
      </w:r>
    </w:p>
    <w:p w14:paraId="188A7E79" w14:textId="23B7C636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 xml:space="preserve">Registrars are permitted to </w:t>
      </w:r>
      <w:r w:rsidRPr="000A44B9">
        <w:rPr>
          <w:rFonts w:eastAsia="Times New Roman" w:cs="Arial"/>
          <w:b/>
          <w:lang w:val="en-GB" w:eastAsia="en-AU"/>
        </w:rPr>
        <w:t>initiate</w:t>
      </w:r>
      <w:r w:rsidRPr="00766882">
        <w:rPr>
          <w:rFonts w:eastAsia="Times New Roman" w:cs="Arial"/>
          <w:lang w:val="en-GB" w:eastAsia="en-AU"/>
        </w:rPr>
        <w:t xml:space="preserve"> opioid analgesics as specified below:</w:t>
      </w:r>
    </w:p>
    <w:p w14:paraId="7B6DADCF" w14:textId="3C3CD305" w:rsidR="00766882" w:rsidRPr="000A44B9" w:rsidRDefault="00766882" w:rsidP="000A44B9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>To hospitalised and residential aged care facility patients:</w:t>
      </w:r>
    </w:p>
    <w:p w14:paraId="39B1E359" w14:textId="5F5AF6D3" w:rsidR="00766882" w:rsidRPr="00DC6EE1" w:rsidRDefault="00766882" w:rsidP="00DC6EE1">
      <w:pPr>
        <w:pStyle w:val="ListParagraph"/>
        <w:numPr>
          <w:ilvl w:val="0"/>
          <w:numId w:val="21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for acute analgesia – on call</w:t>
      </w:r>
    </w:p>
    <w:p w14:paraId="786B9EA0" w14:textId="79610C92" w:rsidR="00766882" w:rsidRPr="00DC6EE1" w:rsidRDefault="00766882" w:rsidP="00DC6EE1">
      <w:pPr>
        <w:pStyle w:val="ListParagraph"/>
        <w:numPr>
          <w:ilvl w:val="0"/>
          <w:numId w:val="21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using the following medications:</w:t>
      </w:r>
    </w:p>
    <w:p w14:paraId="53B16366" w14:textId="3EC154B6" w:rsidR="00766882" w:rsidRPr="00DC6EE1" w:rsidRDefault="00766882" w:rsidP="00DC6EE1">
      <w:pPr>
        <w:pStyle w:val="ListParagraph"/>
        <w:numPr>
          <w:ilvl w:val="0"/>
          <w:numId w:val="22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Tramadol (currently S4) – ceiling dose 200 mg a day</w:t>
      </w:r>
    </w:p>
    <w:p w14:paraId="0BA85D3A" w14:textId="285E2963" w:rsidR="00766882" w:rsidRPr="00DC6EE1" w:rsidRDefault="00766882" w:rsidP="00DC6EE1">
      <w:pPr>
        <w:pStyle w:val="ListParagraph"/>
        <w:numPr>
          <w:ilvl w:val="0"/>
          <w:numId w:val="22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Morphine – ceiling dose 40 mg a day</w:t>
      </w:r>
    </w:p>
    <w:p w14:paraId="0C289D14" w14:textId="74179CF6" w:rsidR="00766882" w:rsidRPr="00766882" w:rsidRDefault="00766882" w:rsidP="00DC6EE1">
      <w:pPr>
        <w:spacing w:after="0"/>
        <w:ind w:left="36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Note that combinations of drugs that result in higher than 40</w:t>
      </w:r>
      <w:r w:rsidR="000A44B9">
        <w:rPr>
          <w:rFonts w:eastAsia="Times New Roman" w:cs="Arial"/>
          <w:lang w:val="en-GB" w:eastAsia="en-AU"/>
        </w:rPr>
        <w:t xml:space="preserve"> mg morphine equivalent per day </w:t>
      </w:r>
      <w:r w:rsidRPr="00766882">
        <w:rPr>
          <w:rFonts w:eastAsia="Times New Roman" w:cs="Arial"/>
          <w:lang w:val="en-GB" w:eastAsia="en-AU"/>
        </w:rPr>
        <w:t>will require senior GP review.</w:t>
      </w:r>
    </w:p>
    <w:p w14:paraId="3A86D448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0429C2F3" w14:textId="4E2FD409" w:rsidR="00766882" w:rsidRPr="000A44B9" w:rsidRDefault="00766882" w:rsidP="000A44B9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>To general practice patients:</w:t>
      </w:r>
    </w:p>
    <w:p w14:paraId="51288A0A" w14:textId="07064633" w:rsidR="00766882" w:rsidRPr="000A44B9" w:rsidRDefault="00766882" w:rsidP="00DC6EE1">
      <w:pPr>
        <w:pStyle w:val="ListParagraph"/>
        <w:numPr>
          <w:ilvl w:val="0"/>
          <w:numId w:val="20"/>
        </w:numPr>
        <w:spacing w:after="0"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>using the following medications:</w:t>
      </w:r>
    </w:p>
    <w:p w14:paraId="1B449074" w14:textId="79093000" w:rsidR="00766882" w:rsidRPr="00DC6EE1" w:rsidRDefault="00766882" w:rsidP="00DC6EE1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paracetamol 500 mg codeine 30 mg – limited to 20 tablets</w:t>
      </w:r>
    </w:p>
    <w:p w14:paraId="07F788B8" w14:textId="67F59989" w:rsidR="00766882" w:rsidRPr="00DC6EE1" w:rsidRDefault="00766882" w:rsidP="00DC6EE1">
      <w:pPr>
        <w:pStyle w:val="ListParagraph"/>
        <w:numPr>
          <w:ilvl w:val="0"/>
          <w:numId w:val="24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tramadol 100 mg – limited to 20</w:t>
      </w:r>
    </w:p>
    <w:p w14:paraId="5A613A95" w14:textId="6AA9D044" w:rsidR="00766882" w:rsidRDefault="00766882" w:rsidP="00DC6EE1">
      <w:pPr>
        <w:spacing w:after="0"/>
        <w:ind w:left="72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>Note that higher dose tramadol requires consultation with a senior practitioner within the practice.</w:t>
      </w:r>
    </w:p>
    <w:p w14:paraId="43C527C1" w14:textId="43E51E49" w:rsidR="00766882" w:rsidRPr="00DC6EE1" w:rsidRDefault="00766882" w:rsidP="00DC6EE1">
      <w:pPr>
        <w:pStyle w:val="ListParagraph"/>
        <w:numPr>
          <w:ilvl w:val="0"/>
          <w:numId w:val="20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Paracetamol/dextropropoxyphene derivatives (paradex, capadex, digesic) are prohibited</w:t>
      </w:r>
    </w:p>
    <w:p w14:paraId="4DF6FF0B" w14:textId="43D536A6" w:rsidR="00766882" w:rsidRPr="00DC6EE1" w:rsidRDefault="00766882" w:rsidP="00DC6EE1">
      <w:pPr>
        <w:pStyle w:val="ListParagraph"/>
        <w:numPr>
          <w:ilvl w:val="0"/>
          <w:numId w:val="20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Codeine, oxycodone, buprenorphine patches, fentany</w:t>
      </w:r>
      <w:r w:rsidR="00DC6EE1" w:rsidRPr="00DC6EE1">
        <w:rPr>
          <w:rFonts w:eastAsia="Times New Roman" w:cs="Arial"/>
          <w:lang w:val="en-GB" w:eastAsia="en-AU"/>
        </w:rPr>
        <w:t xml:space="preserve">l patches and hydromorphone use </w:t>
      </w:r>
      <w:r w:rsidRPr="00DC6EE1">
        <w:rPr>
          <w:rFonts w:eastAsia="Times New Roman" w:cs="Arial"/>
          <w:lang w:val="en-GB" w:eastAsia="en-AU"/>
        </w:rPr>
        <w:t>requires discussion with a senior practitioner within the practice.</w:t>
      </w:r>
    </w:p>
    <w:p w14:paraId="7C60C53C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24A10E3D" w14:textId="3302B9DB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766882">
        <w:rPr>
          <w:rFonts w:eastAsia="Times New Roman" w:cs="Arial"/>
          <w:lang w:val="en-GB" w:eastAsia="en-AU"/>
        </w:rPr>
        <w:t xml:space="preserve">Registrars are permitted to provide opioid analgesic </w:t>
      </w:r>
      <w:r w:rsidRPr="000A44B9">
        <w:rPr>
          <w:rFonts w:eastAsia="Times New Roman" w:cs="Arial"/>
          <w:b/>
          <w:lang w:val="en-GB" w:eastAsia="en-AU"/>
        </w:rPr>
        <w:t>continuation</w:t>
      </w:r>
      <w:r w:rsidRPr="00766882">
        <w:rPr>
          <w:rFonts w:eastAsia="Times New Roman" w:cs="Arial"/>
          <w:lang w:val="en-GB" w:eastAsia="en-AU"/>
        </w:rPr>
        <w:t xml:space="preserve"> as specified below:</w:t>
      </w:r>
    </w:p>
    <w:p w14:paraId="58546001" w14:textId="784C324F" w:rsidR="00766882" w:rsidRPr="00DC6EE1" w:rsidRDefault="00766882" w:rsidP="00DC6EE1">
      <w:pPr>
        <w:pStyle w:val="ListParagraph"/>
        <w:numPr>
          <w:ilvl w:val="0"/>
          <w:numId w:val="38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Registrars are permitted to supply continuation therapy:</w:t>
      </w:r>
    </w:p>
    <w:p w14:paraId="37F3FE53" w14:textId="1147D046" w:rsidR="00766882" w:rsidRPr="00DC6EE1" w:rsidRDefault="00766882" w:rsidP="00DC30E8">
      <w:pPr>
        <w:pStyle w:val="ListParagraph"/>
        <w:numPr>
          <w:ilvl w:val="0"/>
          <w:numId w:val="29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lastRenderedPageBreak/>
        <w:t>to long-term patients of the practice who are on stable medication regimes, in the absence of their usual practitioner</w:t>
      </w:r>
    </w:p>
    <w:p w14:paraId="26708893" w14:textId="7F0AC4D8" w:rsidR="00766882" w:rsidRPr="00DC6EE1" w:rsidRDefault="00766882" w:rsidP="00DC6EE1">
      <w:pPr>
        <w:pStyle w:val="ListParagraph"/>
        <w:numPr>
          <w:ilvl w:val="0"/>
          <w:numId w:val="30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patients requesting increased analgesia will need to be referred back to their usual practitioner</w:t>
      </w:r>
    </w:p>
    <w:p w14:paraId="463441C0" w14:textId="5AA2697E" w:rsidR="00766882" w:rsidRPr="00DC6EE1" w:rsidRDefault="00766882" w:rsidP="00DC30E8">
      <w:pPr>
        <w:pStyle w:val="ListParagraph"/>
        <w:numPr>
          <w:ilvl w:val="0"/>
          <w:numId w:val="29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to patients requiring continued postoperative analgesia (ie patients discharge from hospital) provided:</w:t>
      </w:r>
    </w:p>
    <w:p w14:paraId="5DCB2E20" w14:textId="69BA0200" w:rsidR="00766882" w:rsidRPr="00DC6EE1" w:rsidRDefault="00766882" w:rsidP="00DC6EE1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there is no increase in opioid analgesic requirements</w:t>
      </w:r>
    </w:p>
    <w:p w14:paraId="56B5777C" w14:textId="4DCCCADC" w:rsidR="00766882" w:rsidRPr="00DC6EE1" w:rsidRDefault="00766882" w:rsidP="00DC6EE1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a plan to reduce and cease all opioid analgesia within a fortnight for most surgery, but up to 6 weeks for joint replacement or thoracotomy is undertaken</w:t>
      </w:r>
    </w:p>
    <w:p w14:paraId="0AB5C58A" w14:textId="4A1EB335" w:rsidR="00766882" w:rsidRPr="00DC6EE1" w:rsidRDefault="00766882" w:rsidP="00DC6EE1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a consultation with a senior general practitioner at the [Insert practice name] has occurred.</w:t>
      </w:r>
    </w:p>
    <w:p w14:paraId="51678E3B" w14:textId="35F52A26" w:rsidR="00766882" w:rsidRPr="00DC6EE1" w:rsidRDefault="00766882" w:rsidP="00456574">
      <w:pPr>
        <w:pStyle w:val="ListParagraph"/>
        <w:numPr>
          <w:ilvl w:val="0"/>
          <w:numId w:val="38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Registrars are not permitted to continue analgesic plans initiated at other practices or healthcare facilities without the review of a senior general practitioner at the [Insert practice name].</w:t>
      </w:r>
    </w:p>
    <w:p w14:paraId="54579F5F" w14:textId="77777777" w:rsidR="00766882" w:rsidRDefault="00766882" w:rsidP="00766882">
      <w:pPr>
        <w:spacing w:after="0"/>
        <w:contextualSpacing/>
        <w:rPr>
          <w:rFonts w:eastAsia="Times New Roman" w:cs="Arial"/>
          <w:lang w:val="en-GB" w:eastAsia="en-AU"/>
        </w:rPr>
      </w:pPr>
    </w:p>
    <w:p w14:paraId="44069D20" w14:textId="77777777" w:rsidR="000A44B9" w:rsidRPr="000A44B9" w:rsidRDefault="000A44B9" w:rsidP="00766882">
      <w:pPr>
        <w:spacing w:after="0"/>
        <w:contextualSpacing/>
        <w:rPr>
          <w:rFonts w:eastAsia="Times New Roman" w:cs="Arial"/>
          <w:b/>
          <w:lang w:val="en-GB" w:eastAsia="en-AU"/>
        </w:rPr>
      </w:pPr>
      <w:r w:rsidRPr="000A44B9">
        <w:rPr>
          <w:rFonts w:eastAsia="Times New Roman" w:cs="Arial"/>
          <w:b/>
          <w:lang w:val="en-GB" w:eastAsia="en-AU"/>
        </w:rPr>
        <w:t xml:space="preserve">Benzodiazepines </w:t>
      </w:r>
    </w:p>
    <w:p w14:paraId="0A32DD90" w14:textId="4CC6A28D" w:rsidR="00766882" w:rsidRDefault="000A44B9" w:rsidP="00766882">
      <w:pPr>
        <w:spacing w:after="0"/>
        <w:contextualSpacing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 xml:space="preserve">Benzodiazepine </w:t>
      </w:r>
      <w:r w:rsidRPr="000A44B9">
        <w:rPr>
          <w:rFonts w:eastAsia="Times New Roman" w:cs="Arial"/>
          <w:b/>
          <w:lang w:val="en-GB" w:eastAsia="en-AU"/>
        </w:rPr>
        <w:t>initiation</w:t>
      </w:r>
      <w:r w:rsidRPr="000A44B9">
        <w:rPr>
          <w:rFonts w:eastAsia="Times New Roman" w:cs="Arial"/>
          <w:lang w:val="en-GB" w:eastAsia="en-AU"/>
        </w:rPr>
        <w:t>:</w:t>
      </w:r>
    </w:p>
    <w:p w14:paraId="627897CB" w14:textId="2D3123CC" w:rsidR="000A44B9" w:rsidRPr="00DC6EE1" w:rsidRDefault="000A44B9" w:rsidP="00DC6EE1">
      <w:pPr>
        <w:pStyle w:val="ListParagraph"/>
        <w:numPr>
          <w:ilvl w:val="0"/>
          <w:numId w:val="40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Initiation is limited to a single pack (25 tablets) of temazepam 10 mg tablets with no repeats for short-term intermittent use.</w:t>
      </w:r>
    </w:p>
    <w:p w14:paraId="66802CC4" w14:textId="47C63E0A" w:rsidR="000A44B9" w:rsidRPr="00DC6EE1" w:rsidRDefault="000A44B9" w:rsidP="00DC30E8">
      <w:pPr>
        <w:pStyle w:val="ListParagraph"/>
        <w:numPr>
          <w:ilvl w:val="0"/>
          <w:numId w:val="42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This is in association with a full clinical assessment, documentation of indication for use, as a therapy adjunct to addressing the primary causal issue.</w:t>
      </w:r>
    </w:p>
    <w:p w14:paraId="4E402E4E" w14:textId="054B3A5B" w:rsidR="000A44B9" w:rsidRDefault="000A44B9" w:rsidP="000A44B9">
      <w:pPr>
        <w:spacing w:after="0"/>
        <w:contextualSpacing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 xml:space="preserve">Benzodiazepine </w:t>
      </w:r>
      <w:r w:rsidRPr="000A44B9">
        <w:rPr>
          <w:rFonts w:eastAsia="Times New Roman" w:cs="Arial"/>
          <w:b/>
          <w:lang w:val="en-GB" w:eastAsia="en-AU"/>
        </w:rPr>
        <w:t>continuation</w:t>
      </w:r>
      <w:r>
        <w:rPr>
          <w:rFonts w:eastAsia="Times New Roman" w:cs="Arial"/>
          <w:lang w:val="en-GB" w:eastAsia="en-AU"/>
        </w:rPr>
        <w:t>:</w:t>
      </w:r>
    </w:p>
    <w:p w14:paraId="5C219F44" w14:textId="2FCB4FA8" w:rsidR="000A44B9" w:rsidRPr="00DC6EE1" w:rsidRDefault="000A44B9" w:rsidP="00DC6EE1">
      <w:pPr>
        <w:pStyle w:val="ListParagraph"/>
        <w:numPr>
          <w:ilvl w:val="0"/>
          <w:numId w:val="43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Registrars are permitted to supply continuation therapy to:</w:t>
      </w:r>
    </w:p>
    <w:p w14:paraId="10E7D6E9" w14:textId="24E7BE2A" w:rsidR="000A44B9" w:rsidRPr="00DC6EE1" w:rsidRDefault="000A44B9" w:rsidP="00DC30E8">
      <w:pPr>
        <w:pStyle w:val="ListParagraph"/>
        <w:numPr>
          <w:ilvl w:val="0"/>
          <w:numId w:val="45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long-term patients of the practice who are on stable medication regimes, in the absence of their usual practitioner.</w:t>
      </w:r>
    </w:p>
    <w:p w14:paraId="316EDE19" w14:textId="0194D929" w:rsidR="000A44B9" w:rsidRPr="00DC6EE1" w:rsidRDefault="000A44B9" w:rsidP="00DC6EE1">
      <w:pPr>
        <w:pStyle w:val="ListParagraph"/>
        <w:numPr>
          <w:ilvl w:val="0"/>
          <w:numId w:val="43"/>
        </w:numPr>
        <w:spacing w:after="0"/>
        <w:rPr>
          <w:rFonts w:eastAsia="Times New Roman" w:cs="Arial"/>
          <w:lang w:val="en-GB" w:eastAsia="en-AU"/>
        </w:rPr>
      </w:pPr>
      <w:r w:rsidRPr="00DC6EE1">
        <w:rPr>
          <w:rFonts w:eastAsia="Times New Roman" w:cs="Arial"/>
          <w:lang w:val="en-GB" w:eastAsia="en-AU"/>
        </w:rPr>
        <w:t>The continuation of alprazolam is restricted to the usual senior general practitioner in the practice.</w:t>
      </w:r>
    </w:p>
    <w:p w14:paraId="67E2AA00" w14:textId="77777777" w:rsidR="000A44B9" w:rsidRDefault="000A44B9" w:rsidP="000A44B9">
      <w:pPr>
        <w:spacing w:after="0"/>
        <w:contextualSpacing/>
        <w:rPr>
          <w:rFonts w:eastAsia="Times New Roman" w:cs="Arial"/>
          <w:lang w:val="en-GB" w:eastAsia="en-AU"/>
        </w:rPr>
      </w:pPr>
    </w:p>
    <w:p w14:paraId="4E6F61ED" w14:textId="61F0B4A6" w:rsidR="000A44B9" w:rsidRPr="00766882" w:rsidRDefault="000A44B9" w:rsidP="000A44B9">
      <w:pPr>
        <w:spacing w:after="0"/>
        <w:contextualSpacing/>
        <w:rPr>
          <w:rFonts w:eastAsia="Times New Roman" w:cs="Arial"/>
          <w:lang w:val="en-GB" w:eastAsia="en-AU"/>
        </w:rPr>
      </w:pPr>
      <w:r w:rsidRPr="000A44B9">
        <w:rPr>
          <w:rFonts w:eastAsia="Times New Roman" w:cs="Arial"/>
          <w:lang w:val="en-GB" w:eastAsia="en-AU"/>
        </w:rPr>
        <w:t>Refer to the RACGP opioid and benzodiazepine guides for other relevant information to include (eg driving ability)</w:t>
      </w:r>
    </w:p>
    <w:p w14:paraId="2FE62AE3" w14:textId="77777777" w:rsidR="00766882" w:rsidRDefault="00766882" w:rsidP="00766882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0DEC2AB6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875AC20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C3E293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2593A2C" w14:textId="77777777" w:rsidR="00222A21" w:rsidRDefault="00222A2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E9A1397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47EE3D47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9B1BA31" w14:textId="31CF905A" w:rsidR="00222A21" w:rsidRPr="00752A7F" w:rsidRDefault="00222A21" w:rsidP="00222A21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752A7F" w:rsidRPr="00752A7F">
        <w:rPr>
          <w:rFonts w:cs="Arial"/>
          <w:sz w:val="16"/>
          <w:szCs w:val="16"/>
        </w:rPr>
        <w:t>[2019</w:t>
      </w:r>
      <w:r w:rsidRPr="00752A7F">
        <w:rPr>
          <w:rFonts w:cs="Arial"/>
          <w:sz w:val="16"/>
          <w:szCs w:val="16"/>
        </w:rPr>
        <w:t>]</w:t>
      </w:r>
    </w:p>
    <w:p w14:paraId="5240A4C5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4FDF189" w14:textId="77777777" w:rsidR="00222A21" w:rsidRDefault="00BE2650" w:rsidP="00222A2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222A21" w:rsidRPr="000871B9">
          <w:rPr>
            <w:rFonts w:cs="Arial"/>
            <w:sz w:val="16"/>
            <w:szCs w:val="16"/>
          </w:rPr>
          <w:t>This</w:t>
        </w:r>
      </w:hyperlink>
      <w:r w:rsidR="00222A21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222A2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222A21">
        <w:rPr>
          <w:rFonts w:cs="Arial"/>
          <w:sz w:val="16"/>
          <w:szCs w:val="16"/>
        </w:rPr>
        <w:t xml:space="preserve"> </w:t>
      </w:r>
    </w:p>
    <w:p w14:paraId="6D27D1AF" w14:textId="77777777" w:rsidR="00222A21" w:rsidRDefault="00222A21" w:rsidP="00222A21">
      <w:pPr>
        <w:spacing w:after="0" w:line="240" w:lineRule="auto"/>
        <w:rPr>
          <w:rFonts w:cs="Arial"/>
          <w:sz w:val="16"/>
          <w:szCs w:val="16"/>
        </w:rPr>
      </w:pPr>
    </w:p>
    <w:p w14:paraId="2BA41A44" w14:textId="77777777" w:rsidR="00222A21" w:rsidRPr="0002280E" w:rsidRDefault="00222A21" w:rsidP="00222A2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7FA0F5C5" w14:textId="77777777" w:rsidR="006D1284" w:rsidRDefault="006D1284" w:rsidP="006D1284"/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22868F08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BE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EE"/>
    <w:multiLevelType w:val="hybridMultilevel"/>
    <w:tmpl w:val="B484DD9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1FC"/>
    <w:multiLevelType w:val="hybridMultilevel"/>
    <w:tmpl w:val="96E08FE8"/>
    <w:lvl w:ilvl="0" w:tplc="D0689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B172B"/>
    <w:multiLevelType w:val="hybridMultilevel"/>
    <w:tmpl w:val="7018C746"/>
    <w:lvl w:ilvl="0" w:tplc="38B6E922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2258B"/>
    <w:multiLevelType w:val="hybridMultilevel"/>
    <w:tmpl w:val="A736428E"/>
    <w:lvl w:ilvl="0" w:tplc="44909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4226"/>
    <w:multiLevelType w:val="hybridMultilevel"/>
    <w:tmpl w:val="4EA46A8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693B"/>
    <w:multiLevelType w:val="hybridMultilevel"/>
    <w:tmpl w:val="92741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30C8"/>
    <w:multiLevelType w:val="hybridMultilevel"/>
    <w:tmpl w:val="D4822396"/>
    <w:lvl w:ilvl="0" w:tplc="14126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2B6E"/>
    <w:multiLevelType w:val="hybridMultilevel"/>
    <w:tmpl w:val="875E902E"/>
    <w:lvl w:ilvl="0" w:tplc="FE942F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359C"/>
    <w:multiLevelType w:val="hybridMultilevel"/>
    <w:tmpl w:val="D3AE61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58C0"/>
    <w:multiLevelType w:val="hybridMultilevel"/>
    <w:tmpl w:val="273EF2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33782"/>
    <w:multiLevelType w:val="hybridMultilevel"/>
    <w:tmpl w:val="83DADB7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E4B00"/>
    <w:multiLevelType w:val="hybridMultilevel"/>
    <w:tmpl w:val="E3049D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4EF4"/>
    <w:multiLevelType w:val="hybridMultilevel"/>
    <w:tmpl w:val="7EC02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7FA01B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5216C"/>
    <w:multiLevelType w:val="hybridMultilevel"/>
    <w:tmpl w:val="EB3637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313D"/>
    <w:multiLevelType w:val="hybridMultilevel"/>
    <w:tmpl w:val="5F70E0C0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13414"/>
    <w:multiLevelType w:val="hybridMultilevel"/>
    <w:tmpl w:val="2C12372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D36F5"/>
    <w:multiLevelType w:val="hybridMultilevel"/>
    <w:tmpl w:val="09FA06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30E93"/>
    <w:multiLevelType w:val="hybridMultilevel"/>
    <w:tmpl w:val="7EF617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35C0"/>
    <w:multiLevelType w:val="hybridMultilevel"/>
    <w:tmpl w:val="9048C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64BAB"/>
    <w:multiLevelType w:val="hybridMultilevel"/>
    <w:tmpl w:val="0388F3E4"/>
    <w:lvl w:ilvl="0" w:tplc="57CA5B3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8CC"/>
    <w:multiLevelType w:val="hybridMultilevel"/>
    <w:tmpl w:val="6652B0A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02167F"/>
    <w:multiLevelType w:val="hybridMultilevel"/>
    <w:tmpl w:val="588EC22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D25B7"/>
    <w:multiLevelType w:val="hybridMultilevel"/>
    <w:tmpl w:val="25801D04"/>
    <w:lvl w:ilvl="0" w:tplc="C23C0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0AEA"/>
    <w:multiLevelType w:val="hybridMultilevel"/>
    <w:tmpl w:val="B05AE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79226B"/>
    <w:multiLevelType w:val="hybridMultilevel"/>
    <w:tmpl w:val="433CD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27C73"/>
    <w:multiLevelType w:val="hybridMultilevel"/>
    <w:tmpl w:val="FEB27E2A"/>
    <w:lvl w:ilvl="0" w:tplc="0A7CB01E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256C5"/>
    <w:multiLevelType w:val="hybridMultilevel"/>
    <w:tmpl w:val="0EDEC38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82DD0"/>
    <w:multiLevelType w:val="hybridMultilevel"/>
    <w:tmpl w:val="95C2A7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84A9C"/>
    <w:multiLevelType w:val="hybridMultilevel"/>
    <w:tmpl w:val="07AA51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0B45"/>
    <w:multiLevelType w:val="hybridMultilevel"/>
    <w:tmpl w:val="7EC02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7FA01B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42"/>
  </w:num>
  <w:num w:numId="2">
    <w:abstractNumId w:val="26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37"/>
  </w:num>
  <w:num w:numId="8">
    <w:abstractNumId w:val="36"/>
  </w:num>
  <w:num w:numId="9">
    <w:abstractNumId w:val="21"/>
  </w:num>
  <w:num w:numId="10">
    <w:abstractNumId w:val="30"/>
  </w:num>
  <w:num w:numId="11">
    <w:abstractNumId w:val="3"/>
  </w:num>
  <w:num w:numId="12">
    <w:abstractNumId w:val="44"/>
  </w:num>
  <w:num w:numId="13">
    <w:abstractNumId w:val="18"/>
  </w:num>
  <w:num w:numId="14">
    <w:abstractNumId w:val="11"/>
  </w:num>
  <w:num w:numId="15">
    <w:abstractNumId w:val="41"/>
  </w:num>
  <w:num w:numId="16">
    <w:abstractNumId w:val="5"/>
  </w:num>
  <w:num w:numId="17">
    <w:abstractNumId w:val="43"/>
  </w:num>
  <w:num w:numId="18">
    <w:abstractNumId w:val="1"/>
  </w:num>
  <w:num w:numId="19">
    <w:abstractNumId w:val="31"/>
  </w:num>
  <w:num w:numId="20">
    <w:abstractNumId w:val="0"/>
  </w:num>
  <w:num w:numId="21">
    <w:abstractNumId w:val="38"/>
  </w:num>
  <w:num w:numId="22">
    <w:abstractNumId w:val="14"/>
  </w:num>
  <w:num w:numId="23">
    <w:abstractNumId w:val="4"/>
  </w:num>
  <w:num w:numId="24">
    <w:abstractNumId w:val="28"/>
  </w:num>
  <w:num w:numId="25">
    <w:abstractNumId w:val="35"/>
  </w:num>
  <w:num w:numId="26">
    <w:abstractNumId w:val="22"/>
  </w:num>
  <w:num w:numId="27">
    <w:abstractNumId w:val="39"/>
  </w:num>
  <w:num w:numId="28">
    <w:abstractNumId w:val="6"/>
  </w:num>
  <w:num w:numId="29">
    <w:abstractNumId w:val="7"/>
  </w:num>
  <w:num w:numId="30">
    <w:abstractNumId w:val="27"/>
  </w:num>
  <w:num w:numId="31">
    <w:abstractNumId w:val="29"/>
  </w:num>
  <w:num w:numId="32">
    <w:abstractNumId w:val="23"/>
  </w:num>
  <w:num w:numId="33">
    <w:abstractNumId w:val="20"/>
  </w:num>
  <w:num w:numId="34">
    <w:abstractNumId w:val="9"/>
  </w:num>
  <w:num w:numId="35">
    <w:abstractNumId w:val="15"/>
  </w:num>
  <w:num w:numId="36">
    <w:abstractNumId w:val="33"/>
  </w:num>
  <w:num w:numId="37">
    <w:abstractNumId w:val="16"/>
  </w:num>
  <w:num w:numId="38">
    <w:abstractNumId w:val="19"/>
  </w:num>
  <w:num w:numId="39">
    <w:abstractNumId w:val="8"/>
  </w:num>
  <w:num w:numId="40">
    <w:abstractNumId w:val="13"/>
  </w:num>
  <w:num w:numId="41">
    <w:abstractNumId w:val="25"/>
  </w:num>
  <w:num w:numId="42">
    <w:abstractNumId w:val="40"/>
  </w:num>
  <w:num w:numId="43">
    <w:abstractNumId w:val="17"/>
  </w:num>
  <w:num w:numId="44">
    <w:abstractNumId w:val="10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A44B9"/>
    <w:rsid w:val="00120180"/>
    <w:rsid w:val="001D0673"/>
    <w:rsid w:val="00222A21"/>
    <w:rsid w:val="002C4C1B"/>
    <w:rsid w:val="003736FB"/>
    <w:rsid w:val="003A7CE5"/>
    <w:rsid w:val="004416A5"/>
    <w:rsid w:val="00456574"/>
    <w:rsid w:val="00465E70"/>
    <w:rsid w:val="004A430C"/>
    <w:rsid w:val="005B1E07"/>
    <w:rsid w:val="005D3E10"/>
    <w:rsid w:val="006D1284"/>
    <w:rsid w:val="0071358B"/>
    <w:rsid w:val="00752A7F"/>
    <w:rsid w:val="00766882"/>
    <w:rsid w:val="008168BD"/>
    <w:rsid w:val="008509BF"/>
    <w:rsid w:val="008C7DFE"/>
    <w:rsid w:val="00A4502D"/>
    <w:rsid w:val="00B144DE"/>
    <w:rsid w:val="00BE2650"/>
    <w:rsid w:val="00BF419D"/>
    <w:rsid w:val="00DC30E8"/>
    <w:rsid w:val="00DC6EE1"/>
    <w:rsid w:val="00E24909"/>
    <w:rsid w:val="00E42E04"/>
    <w:rsid w:val="00E94D6E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2019-06-03T23:11:00Z</dcterms:created>
  <dcterms:modified xsi:type="dcterms:W3CDTF">2019-06-03T23:11:00Z</dcterms:modified>
</cp:coreProperties>
</file>