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88824" w14:textId="74D0BFD9" w:rsidR="002C4C1B" w:rsidRDefault="00BF6FC6" w:rsidP="002C4C1B">
      <w:pPr>
        <w:rPr>
          <w:rFonts w:ascii="Georgia" w:hAnsi="Georgia" w:cs="Adobe Devanagari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Georgia" w:hAnsi="Georgia" w:cs="Adobe Devanagari"/>
          <w:i/>
          <w:color w:val="000000" w:themeColor="text1"/>
          <w:sz w:val="32"/>
          <w:szCs w:val="32"/>
        </w:rPr>
        <w:t>Continuation of opioid management plans for new patients originating from external healthcare providers policy template.</w:t>
      </w:r>
    </w:p>
    <w:p w14:paraId="536FAB1D" w14:textId="6E16624F" w:rsidR="006F7257" w:rsidRDefault="006F7257" w:rsidP="00BF6FC6">
      <w:pPr>
        <w:rPr>
          <w:rFonts w:cs="Arial"/>
          <w:color w:val="000000" w:themeColor="text1"/>
          <w:szCs w:val="20"/>
        </w:rPr>
      </w:pPr>
      <w:r>
        <w:rPr>
          <w:rFonts w:cs="Arial"/>
          <w:color w:val="000000" w:themeColor="text1"/>
          <w:szCs w:val="20"/>
        </w:rPr>
        <w:t xml:space="preserve">Purpose: </w:t>
      </w:r>
    </w:p>
    <w:p w14:paraId="4963B8B9" w14:textId="77777777" w:rsidR="00BF6FC6" w:rsidRDefault="00BF6FC6" w:rsidP="00BF6FC6">
      <w:pPr>
        <w:rPr>
          <w:rFonts w:cs="Arial"/>
          <w:color w:val="000000" w:themeColor="text1"/>
          <w:szCs w:val="20"/>
        </w:rPr>
      </w:pPr>
      <w:r w:rsidRPr="00BF6FC6">
        <w:rPr>
          <w:rFonts w:cs="Arial"/>
          <w:color w:val="000000" w:themeColor="text1"/>
          <w:szCs w:val="20"/>
        </w:rPr>
        <w:t>To clarify the standards under which opioid management plans are continued (eg for patients with</w:t>
      </w:r>
      <w:r>
        <w:rPr>
          <w:rFonts w:cs="Arial"/>
          <w:color w:val="000000" w:themeColor="text1"/>
          <w:szCs w:val="20"/>
        </w:rPr>
        <w:t xml:space="preserve"> </w:t>
      </w:r>
      <w:r w:rsidRPr="00BF6FC6">
        <w:rPr>
          <w:rFonts w:cs="Arial"/>
          <w:color w:val="000000" w:themeColor="text1"/>
          <w:szCs w:val="20"/>
        </w:rPr>
        <w:t>chronic non-malignant pain).</w:t>
      </w:r>
    </w:p>
    <w:p w14:paraId="7303B073" w14:textId="7B6E8AE5" w:rsidR="002C4C1B" w:rsidRPr="00483679" w:rsidRDefault="002C4C1B" w:rsidP="00BF6FC6">
      <w:pPr>
        <w:rPr>
          <w:rFonts w:cs="Arial"/>
          <w:color w:val="000000" w:themeColor="text1"/>
          <w:szCs w:val="20"/>
        </w:rPr>
      </w:pPr>
      <w:r>
        <w:rPr>
          <w:rFonts w:cs="Arial"/>
          <w:color w:val="000000" w:themeColor="text1"/>
          <w:szCs w:val="20"/>
        </w:rPr>
        <w:t>For more informat</w:t>
      </w:r>
      <w:r w:rsidR="00BF6FC6">
        <w:rPr>
          <w:rFonts w:cs="Arial"/>
          <w:color w:val="000000" w:themeColor="text1"/>
          <w:szCs w:val="20"/>
        </w:rPr>
        <w:t xml:space="preserve">ion, please refer to the RACGPs </w:t>
      </w:r>
      <w:hyperlink r:id="rId7" w:history="1">
        <w:r w:rsidR="00BF6FC6" w:rsidRPr="00BF6FC6">
          <w:rPr>
            <w:rStyle w:val="Hyperlink"/>
            <w:rFonts w:cs="Arial"/>
            <w:szCs w:val="20"/>
          </w:rPr>
          <w:t>Prescribing drugs of dependence in general practice – Part A – Clinical Governance Framework</w:t>
        </w:r>
      </w:hyperlink>
      <w:r w:rsidR="00BF6FC6">
        <w:rPr>
          <w:rFonts w:cs="Arial"/>
          <w:color w:val="000000" w:themeColor="text1"/>
          <w:szCs w:val="20"/>
        </w:rPr>
        <w:t xml:space="preserve">. </w:t>
      </w:r>
    </w:p>
    <w:p w14:paraId="6D6C360D" w14:textId="473CAD13" w:rsidR="006D1284" w:rsidRPr="005B1E07" w:rsidRDefault="006D1284" w:rsidP="005B1E07">
      <w:pPr>
        <w:spacing w:after="0"/>
        <w:contextualSpacing/>
        <w:rPr>
          <w:color w:val="auto"/>
          <w:szCs w:val="20"/>
          <w:lang w:val="en-GB"/>
        </w:rPr>
      </w:pPr>
      <w:r>
        <w:rPr>
          <w:color w:val="auto"/>
          <w:szCs w:val="20"/>
          <w:lang w:val="en-GB"/>
        </w:rPr>
        <w:br w:type="page"/>
      </w:r>
    </w:p>
    <w:p w14:paraId="4670F31B" w14:textId="59DD11B0" w:rsidR="00BF6FC6" w:rsidRDefault="006D1284" w:rsidP="006D1284">
      <w:pPr>
        <w:pStyle w:val="MBHeader01"/>
        <w:tabs>
          <w:tab w:val="clear" w:pos="936"/>
          <w:tab w:val="left" w:pos="720"/>
        </w:tabs>
        <w:spacing w:before="0" w:after="0"/>
        <w:ind w:left="0" w:firstLine="0"/>
        <w:rPr>
          <w:rFonts w:cs="Arial"/>
          <w:color w:val="0070C0"/>
          <w:sz w:val="36"/>
          <w:szCs w:val="24"/>
          <w:lang w:val="en-GB"/>
        </w:rPr>
      </w:pPr>
      <w:r>
        <w:rPr>
          <w:rFonts w:cs="Arial"/>
          <w:color w:val="FF0000"/>
          <w:sz w:val="36"/>
          <w:szCs w:val="24"/>
          <w:lang w:val="en-GB"/>
        </w:rPr>
        <w:lastRenderedPageBreak/>
        <w:t>[</w:t>
      </w:r>
      <w:r w:rsidR="00E94D6E">
        <w:rPr>
          <w:rFonts w:cs="Arial"/>
          <w:color w:val="FF0000"/>
          <w:sz w:val="36"/>
          <w:szCs w:val="24"/>
          <w:lang w:val="en-GB"/>
        </w:rPr>
        <w:t>Insert</w:t>
      </w:r>
      <w:r w:rsidR="00BF6FC6">
        <w:rPr>
          <w:rFonts w:cs="Arial"/>
          <w:color w:val="FF0000"/>
          <w:sz w:val="36"/>
          <w:szCs w:val="24"/>
          <w:lang w:val="en-GB"/>
        </w:rPr>
        <w:t xml:space="preserve"> practice name]</w:t>
      </w:r>
      <w:r w:rsidR="00BF6FC6">
        <w:rPr>
          <w:rFonts w:cs="Arial"/>
          <w:color w:val="0070C0"/>
          <w:sz w:val="36"/>
          <w:szCs w:val="24"/>
          <w:lang w:val="en-GB"/>
        </w:rPr>
        <w:t>’s continuation of opioid management plans initiated by external providers policy</w:t>
      </w:r>
    </w:p>
    <w:p w14:paraId="7BF94898" w14:textId="77777777" w:rsidR="00BF6FC6" w:rsidRDefault="00BF6FC6" w:rsidP="006D1284">
      <w:pPr>
        <w:pStyle w:val="MBHeader01"/>
        <w:tabs>
          <w:tab w:val="clear" w:pos="936"/>
          <w:tab w:val="left" w:pos="720"/>
        </w:tabs>
        <w:spacing w:before="0" w:after="0"/>
        <w:ind w:left="0" w:firstLine="0"/>
        <w:rPr>
          <w:rFonts w:cs="Arial"/>
          <w:color w:val="0070C0"/>
          <w:sz w:val="36"/>
          <w:szCs w:val="24"/>
          <w:lang w:val="en-GB"/>
        </w:rPr>
      </w:pPr>
    </w:p>
    <w:p w14:paraId="3A59BF94" w14:textId="77777777" w:rsidR="006D1284" w:rsidRDefault="006D1284" w:rsidP="006D1284">
      <w:pPr>
        <w:pStyle w:val="MB-Body"/>
        <w:tabs>
          <w:tab w:val="left" w:pos="720"/>
        </w:tabs>
        <w:spacing w:after="0" w:line="276" w:lineRule="auto"/>
        <w:rPr>
          <w:i/>
          <w:color w:val="CF1D21"/>
          <w:sz w:val="22"/>
          <w:szCs w:val="22"/>
          <w:lang w:val="en-GB"/>
        </w:rPr>
      </w:pPr>
      <w:r>
        <w:rPr>
          <w:i/>
          <w:sz w:val="22"/>
          <w:szCs w:val="22"/>
          <w:lang w:val="en-GB"/>
        </w:rPr>
        <w:t xml:space="preserve">Current as of: </w:t>
      </w:r>
      <w:r>
        <w:rPr>
          <w:i/>
          <w:color w:val="CF1D21"/>
          <w:sz w:val="22"/>
          <w:szCs w:val="22"/>
          <w:lang w:val="en-GB"/>
        </w:rPr>
        <w:t>[insert date of last revision]</w:t>
      </w:r>
    </w:p>
    <w:p w14:paraId="20176AE8" w14:textId="77777777" w:rsidR="006D1284" w:rsidRDefault="006D1284" w:rsidP="006D1284">
      <w:pPr>
        <w:pStyle w:val="MB-Body"/>
        <w:tabs>
          <w:tab w:val="left" w:pos="720"/>
        </w:tabs>
        <w:spacing w:after="0" w:line="276" w:lineRule="auto"/>
        <w:rPr>
          <w:i/>
          <w:color w:val="CF1D21"/>
          <w:sz w:val="22"/>
          <w:szCs w:val="22"/>
          <w:lang w:val="en-GB"/>
        </w:rPr>
      </w:pPr>
      <w:r>
        <w:rPr>
          <w:i/>
          <w:color w:val="auto"/>
          <w:sz w:val="22"/>
          <w:szCs w:val="22"/>
          <w:lang w:val="en-GB"/>
        </w:rPr>
        <w:t>Version no:</w:t>
      </w:r>
      <w:r>
        <w:rPr>
          <w:i/>
          <w:color w:val="CF1D21"/>
          <w:sz w:val="22"/>
          <w:szCs w:val="22"/>
          <w:lang w:val="en-GB"/>
        </w:rPr>
        <w:t xml:space="preserve"> [insert version number]</w:t>
      </w:r>
    </w:p>
    <w:p w14:paraId="4550F6C3" w14:textId="6554FBC3" w:rsidR="002C4C1B" w:rsidRDefault="002C4C1B" w:rsidP="006D1284">
      <w:pPr>
        <w:pStyle w:val="MB-Body"/>
        <w:tabs>
          <w:tab w:val="left" w:pos="720"/>
        </w:tabs>
        <w:spacing w:after="0" w:line="276" w:lineRule="auto"/>
        <w:rPr>
          <w:i/>
          <w:sz w:val="22"/>
          <w:szCs w:val="22"/>
          <w:lang w:val="en-GB"/>
        </w:rPr>
      </w:pPr>
      <w:r w:rsidRPr="002C4C1B">
        <w:rPr>
          <w:i/>
          <w:color w:val="auto"/>
          <w:sz w:val="22"/>
          <w:szCs w:val="22"/>
          <w:lang w:val="en-GB"/>
        </w:rPr>
        <w:t xml:space="preserve">Review date: </w:t>
      </w:r>
      <w:r>
        <w:rPr>
          <w:i/>
          <w:color w:val="CF1D21"/>
          <w:sz w:val="22"/>
          <w:szCs w:val="22"/>
          <w:lang w:val="en-GB"/>
        </w:rPr>
        <w:t>[insert date]</w:t>
      </w:r>
    </w:p>
    <w:p w14:paraId="3D6D0D77" w14:textId="77777777" w:rsidR="006D1284" w:rsidRDefault="006D1284" w:rsidP="006D1284">
      <w:pPr>
        <w:spacing w:after="0"/>
        <w:contextualSpacing/>
        <w:rPr>
          <w:rFonts w:cs="Arial"/>
          <w:b/>
          <w:lang w:val="en-GB"/>
        </w:rPr>
      </w:pPr>
    </w:p>
    <w:p w14:paraId="4D12F7D8" w14:textId="743D75CA" w:rsidR="00BF6FC6" w:rsidRDefault="00BF6FC6" w:rsidP="00732A9A">
      <w:pPr>
        <w:spacing w:after="0" w:line="360" w:lineRule="auto"/>
        <w:contextualSpacing/>
        <w:rPr>
          <w:rFonts w:cs="Arial"/>
          <w:bCs/>
        </w:rPr>
      </w:pPr>
      <w:r w:rsidRPr="00BF6FC6">
        <w:rPr>
          <w:rFonts w:cs="Arial"/>
          <w:bCs/>
        </w:rPr>
        <w:t>The purpose of this policy is to document the standards under which this practice agrees to continue the management of</w:t>
      </w:r>
      <w:r>
        <w:rPr>
          <w:rFonts w:cs="Arial"/>
          <w:bCs/>
        </w:rPr>
        <w:t xml:space="preserve"> </w:t>
      </w:r>
      <w:r w:rsidRPr="00BF6FC6">
        <w:rPr>
          <w:rFonts w:cs="Arial"/>
          <w:bCs/>
        </w:rPr>
        <w:t>opioid treatment programs.</w:t>
      </w:r>
    </w:p>
    <w:p w14:paraId="39FE5E19" w14:textId="77777777" w:rsidR="00BF6FC6" w:rsidRPr="00BF6FC6" w:rsidRDefault="00BF6FC6" w:rsidP="00732A9A">
      <w:pPr>
        <w:spacing w:after="0" w:line="360" w:lineRule="auto"/>
        <w:contextualSpacing/>
        <w:rPr>
          <w:rFonts w:cs="Arial"/>
          <w:bCs/>
        </w:rPr>
      </w:pPr>
    </w:p>
    <w:p w14:paraId="4ADB0CCF" w14:textId="0D4E2324" w:rsidR="00BF6FC6" w:rsidRDefault="00BF6FC6" w:rsidP="00732A9A">
      <w:pPr>
        <w:spacing w:after="0" w:line="360" w:lineRule="auto"/>
        <w:contextualSpacing/>
        <w:rPr>
          <w:rFonts w:cs="Arial"/>
          <w:bCs/>
        </w:rPr>
      </w:pPr>
      <w:r w:rsidRPr="00BF6FC6">
        <w:rPr>
          <w:rFonts w:cs="Arial"/>
          <w:bCs/>
        </w:rPr>
        <w:t xml:space="preserve">Patients often arrive from other practices or institutions requesting continuation of their opioid management </w:t>
      </w:r>
      <w:r w:rsidR="00C77818" w:rsidRPr="00BF6FC6">
        <w:rPr>
          <w:rFonts w:cs="Arial"/>
          <w:bCs/>
        </w:rPr>
        <w:t>programs. These</w:t>
      </w:r>
      <w:r w:rsidRPr="00BF6FC6">
        <w:rPr>
          <w:rFonts w:cs="Arial"/>
          <w:bCs/>
        </w:rPr>
        <w:t xml:space="preserve"> practices and institutions can have prescribing practices which are variable, and may not be evidence based or</w:t>
      </w:r>
      <w:r w:rsidR="00C77818">
        <w:rPr>
          <w:rFonts w:cs="Arial"/>
          <w:bCs/>
        </w:rPr>
        <w:t xml:space="preserve"> </w:t>
      </w:r>
      <w:r w:rsidRPr="00BF6FC6">
        <w:rPr>
          <w:rFonts w:cs="Arial"/>
          <w:bCs/>
        </w:rPr>
        <w:t>safe. To ensure the safety of these programs and the quality of services provided by this practice, the following standards</w:t>
      </w:r>
      <w:r w:rsidR="00C77818">
        <w:rPr>
          <w:rFonts w:cs="Arial"/>
          <w:bCs/>
        </w:rPr>
        <w:t xml:space="preserve"> </w:t>
      </w:r>
      <w:r w:rsidRPr="00BF6FC6">
        <w:rPr>
          <w:rFonts w:cs="Arial"/>
          <w:bCs/>
        </w:rPr>
        <w:t>are to be observed.</w:t>
      </w:r>
    </w:p>
    <w:p w14:paraId="4D64DF45" w14:textId="77777777" w:rsidR="00732A9A" w:rsidRPr="00BF6FC6" w:rsidRDefault="00732A9A" w:rsidP="00732A9A">
      <w:pPr>
        <w:spacing w:after="0" w:line="360" w:lineRule="auto"/>
        <w:contextualSpacing/>
        <w:rPr>
          <w:rFonts w:cs="Arial"/>
          <w:bCs/>
        </w:rPr>
      </w:pPr>
    </w:p>
    <w:p w14:paraId="6D8F3036" w14:textId="3B3E05B2" w:rsidR="00BF6FC6" w:rsidRDefault="00BF6FC6" w:rsidP="00732A9A">
      <w:pPr>
        <w:spacing w:after="0" w:line="360" w:lineRule="auto"/>
        <w:contextualSpacing/>
        <w:rPr>
          <w:rFonts w:cs="Arial"/>
          <w:bCs/>
        </w:rPr>
      </w:pPr>
      <w:r w:rsidRPr="00C77818">
        <w:rPr>
          <w:rFonts w:cs="Arial"/>
          <w:b/>
          <w:bCs/>
        </w:rPr>
        <w:t>Policy statement</w:t>
      </w:r>
      <w:r w:rsidRPr="00BF6FC6">
        <w:rPr>
          <w:rFonts w:cs="Arial"/>
          <w:bCs/>
        </w:rPr>
        <w:t xml:space="preserve"> </w:t>
      </w:r>
      <w:r w:rsidRPr="00BF6FC6">
        <w:rPr>
          <w:rFonts w:cs="Arial" w:hint="eastAsia"/>
          <w:bCs/>
        </w:rPr>
        <w:t>–</w:t>
      </w:r>
      <w:r w:rsidRPr="00BF6FC6">
        <w:rPr>
          <w:rFonts w:cs="Arial"/>
          <w:bCs/>
        </w:rPr>
        <w:t xml:space="preserve"> Doctors at this practice should not prescribe drugs of dependence until evidence of clinical need is</w:t>
      </w:r>
      <w:r w:rsidR="00C77818">
        <w:rPr>
          <w:rFonts w:cs="Arial"/>
          <w:bCs/>
        </w:rPr>
        <w:t xml:space="preserve"> </w:t>
      </w:r>
      <w:r w:rsidRPr="00BF6FC6">
        <w:rPr>
          <w:rFonts w:cs="Arial"/>
          <w:bCs/>
        </w:rPr>
        <w:t>established.</w:t>
      </w:r>
    </w:p>
    <w:p w14:paraId="7C9583D8" w14:textId="77777777" w:rsidR="00732A9A" w:rsidRPr="00BF6FC6" w:rsidRDefault="00732A9A" w:rsidP="00732A9A">
      <w:pPr>
        <w:spacing w:after="0" w:line="360" w:lineRule="auto"/>
        <w:contextualSpacing/>
        <w:rPr>
          <w:rFonts w:cs="Arial"/>
          <w:bCs/>
        </w:rPr>
      </w:pPr>
    </w:p>
    <w:p w14:paraId="6E7ACD37" w14:textId="175D73ED" w:rsidR="00BF6FC6" w:rsidRPr="00732A9A" w:rsidRDefault="00BF6FC6" w:rsidP="00732A9A">
      <w:pPr>
        <w:pStyle w:val="ListParagraph"/>
        <w:numPr>
          <w:ilvl w:val="0"/>
          <w:numId w:val="36"/>
        </w:numPr>
        <w:spacing w:after="0" w:line="360" w:lineRule="auto"/>
        <w:rPr>
          <w:rFonts w:cs="Arial"/>
          <w:bCs/>
        </w:rPr>
      </w:pPr>
      <w:r w:rsidRPr="00732A9A">
        <w:rPr>
          <w:rFonts w:cs="Arial"/>
          <w:bCs/>
        </w:rPr>
        <w:t>Opioids should not be prescribed until satisfactory evidence of need is established. Such evidence may be in the form</w:t>
      </w:r>
      <w:r w:rsidR="00C77818" w:rsidRPr="00732A9A">
        <w:rPr>
          <w:rFonts w:cs="Arial"/>
          <w:bCs/>
        </w:rPr>
        <w:t xml:space="preserve"> </w:t>
      </w:r>
      <w:r w:rsidRPr="00732A9A">
        <w:rPr>
          <w:rFonts w:cs="Arial"/>
          <w:bCs/>
        </w:rPr>
        <w:t>of a full clinical assessment, medical records or direct communication with the previous prescriber. This is necessary</w:t>
      </w:r>
      <w:r w:rsidR="00C77818" w:rsidRPr="00732A9A">
        <w:rPr>
          <w:rFonts w:cs="Arial"/>
          <w:bCs/>
        </w:rPr>
        <w:t xml:space="preserve"> </w:t>
      </w:r>
      <w:r w:rsidRPr="00732A9A">
        <w:rPr>
          <w:rFonts w:cs="Arial"/>
          <w:bCs/>
        </w:rPr>
        <w:t>to avoid the risk of outdated records, recent changes to therapy or aberrant drug-seeking behaviour.</w:t>
      </w:r>
    </w:p>
    <w:p w14:paraId="0345F45C" w14:textId="201DC109" w:rsidR="00BF6FC6" w:rsidRPr="00732A9A" w:rsidRDefault="00BF6FC6" w:rsidP="00732A9A">
      <w:pPr>
        <w:pStyle w:val="ListParagraph"/>
        <w:numPr>
          <w:ilvl w:val="0"/>
          <w:numId w:val="36"/>
        </w:numPr>
        <w:spacing w:after="0" w:line="360" w:lineRule="auto"/>
        <w:rPr>
          <w:rFonts w:cs="Arial"/>
          <w:bCs/>
        </w:rPr>
      </w:pPr>
      <w:r w:rsidRPr="00732A9A">
        <w:rPr>
          <w:rFonts w:cs="Arial"/>
          <w:bCs/>
        </w:rPr>
        <w:t>If it is difficult to confirm prior appropriate prescribing, you may request that the patient ask previous prescribers or</w:t>
      </w:r>
      <w:r w:rsidR="00C77818" w:rsidRPr="00732A9A">
        <w:rPr>
          <w:rFonts w:cs="Arial"/>
          <w:bCs/>
        </w:rPr>
        <w:t xml:space="preserve"> </w:t>
      </w:r>
      <w:r w:rsidRPr="00732A9A">
        <w:rPr>
          <w:rFonts w:cs="Arial"/>
          <w:bCs/>
        </w:rPr>
        <w:t>pharmacists to contact you before you will continue the purported prescribing. Difficulty in obtaining this information</w:t>
      </w:r>
      <w:r w:rsidR="00C77818" w:rsidRPr="00732A9A">
        <w:rPr>
          <w:rFonts w:cs="Arial"/>
          <w:bCs/>
        </w:rPr>
        <w:t xml:space="preserve"> </w:t>
      </w:r>
      <w:r w:rsidRPr="00732A9A">
        <w:rPr>
          <w:rFonts w:cs="Arial"/>
          <w:bCs/>
        </w:rPr>
        <w:t>may signal that the patient may be involved in deceptive behaviour. Drug-seeking patients often attend a practice after</w:t>
      </w:r>
      <w:r w:rsidR="00C77818" w:rsidRPr="00732A9A">
        <w:rPr>
          <w:rFonts w:cs="Arial"/>
          <w:bCs/>
        </w:rPr>
        <w:t xml:space="preserve"> </w:t>
      </w:r>
      <w:r w:rsidRPr="00732A9A">
        <w:rPr>
          <w:rFonts w:cs="Arial"/>
          <w:bCs/>
        </w:rPr>
        <w:t>hours or when such information is difficult to obtain. Do not allow the patient to pressure you into prescribing. Politely</w:t>
      </w:r>
      <w:r w:rsidR="00C77818" w:rsidRPr="00732A9A">
        <w:rPr>
          <w:rFonts w:cs="Arial"/>
          <w:bCs/>
        </w:rPr>
        <w:t xml:space="preserve"> </w:t>
      </w:r>
      <w:r w:rsidRPr="00732A9A">
        <w:rPr>
          <w:rFonts w:cs="Arial"/>
          <w:bCs/>
        </w:rPr>
        <w:t>inform the patient that a prescription will be considered only when the information becomes available.</w:t>
      </w:r>
    </w:p>
    <w:p w14:paraId="2643DDDA" w14:textId="5F486947" w:rsidR="00BF6FC6" w:rsidRDefault="00BF6FC6" w:rsidP="00732A9A">
      <w:pPr>
        <w:pStyle w:val="ListParagraph"/>
        <w:numPr>
          <w:ilvl w:val="0"/>
          <w:numId w:val="36"/>
        </w:numPr>
        <w:spacing w:after="0" w:line="360" w:lineRule="auto"/>
        <w:rPr>
          <w:rFonts w:cs="Arial"/>
          <w:bCs/>
        </w:rPr>
      </w:pPr>
      <w:r w:rsidRPr="00732A9A">
        <w:rPr>
          <w:rFonts w:cs="Arial"/>
          <w:bCs/>
        </w:rPr>
        <w:t>All records are required to enable a comprehensive evaluation of the patient. A signed release of information form is</w:t>
      </w:r>
      <w:r w:rsidR="00C77818" w:rsidRPr="00732A9A">
        <w:rPr>
          <w:rFonts w:cs="Arial"/>
          <w:bCs/>
        </w:rPr>
        <w:t xml:space="preserve"> </w:t>
      </w:r>
      <w:r w:rsidRPr="00732A9A">
        <w:rPr>
          <w:rFonts w:cs="Arial"/>
          <w:bCs/>
        </w:rPr>
        <w:t>required.</w:t>
      </w:r>
    </w:p>
    <w:p w14:paraId="54EACA45" w14:textId="77777777" w:rsidR="00732A9A" w:rsidRPr="00732A9A" w:rsidRDefault="00732A9A" w:rsidP="00732A9A">
      <w:pPr>
        <w:pStyle w:val="ListParagraph"/>
        <w:spacing w:after="0" w:line="360" w:lineRule="auto"/>
        <w:ind w:left="360"/>
        <w:rPr>
          <w:rFonts w:cs="Arial"/>
          <w:bCs/>
        </w:rPr>
      </w:pPr>
    </w:p>
    <w:p w14:paraId="3FCD9A3C" w14:textId="02F617E1" w:rsidR="00BF6FC6" w:rsidRDefault="00BF6FC6" w:rsidP="00732A9A">
      <w:pPr>
        <w:spacing w:after="0" w:line="360" w:lineRule="auto"/>
        <w:contextualSpacing/>
        <w:rPr>
          <w:rFonts w:cs="Arial"/>
          <w:bCs/>
        </w:rPr>
      </w:pPr>
      <w:r w:rsidRPr="00C77818">
        <w:rPr>
          <w:rFonts w:cs="Arial"/>
          <w:b/>
          <w:bCs/>
        </w:rPr>
        <w:t>Policy statement</w:t>
      </w:r>
      <w:r w:rsidRPr="00BF6FC6">
        <w:rPr>
          <w:rFonts w:cs="Arial"/>
          <w:bCs/>
        </w:rPr>
        <w:t xml:space="preserve"> </w:t>
      </w:r>
      <w:r w:rsidRPr="00BF6FC6">
        <w:rPr>
          <w:rFonts w:cs="Arial" w:hint="eastAsia"/>
          <w:bCs/>
        </w:rPr>
        <w:t>–</w:t>
      </w:r>
      <w:r w:rsidRPr="00BF6FC6">
        <w:rPr>
          <w:rFonts w:cs="Arial"/>
          <w:bCs/>
        </w:rPr>
        <w:t xml:space="preserve"> Doctors at this practice should not continue to prescribe drugs of dependence until reasonable</w:t>
      </w:r>
      <w:r w:rsidR="00C77818">
        <w:rPr>
          <w:rFonts w:cs="Arial"/>
          <w:bCs/>
        </w:rPr>
        <w:t xml:space="preserve"> </w:t>
      </w:r>
      <w:r w:rsidRPr="00BF6FC6">
        <w:rPr>
          <w:rFonts w:cs="Arial"/>
          <w:bCs/>
        </w:rPr>
        <w:t>steps have been undertaken to exclude problematic drug use.</w:t>
      </w:r>
    </w:p>
    <w:p w14:paraId="2D2F5A0C" w14:textId="77777777" w:rsidR="00C77818" w:rsidRPr="00BF6FC6" w:rsidRDefault="00C77818" w:rsidP="00732A9A">
      <w:pPr>
        <w:spacing w:after="0" w:line="360" w:lineRule="auto"/>
        <w:contextualSpacing/>
        <w:rPr>
          <w:rFonts w:cs="Arial"/>
          <w:bCs/>
        </w:rPr>
      </w:pPr>
    </w:p>
    <w:p w14:paraId="30E4F2B4" w14:textId="5E804CA0" w:rsidR="00BF6FC6" w:rsidRPr="00C77818" w:rsidRDefault="00BF6FC6" w:rsidP="00732A9A">
      <w:pPr>
        <w:pStyle w:val="ListParagraph"/>
        <w:numPr>
          <w:ilvl w:val="0"/>
          <w:numId w:val="33"/>
        </w:numPr>
        <w:spacing w:after="0" w:line="360" w:lineRule="auto"/>
        <w:ind w:left="357" w:hanging="357"/>
        <w:rPr>
          <w:rFonts w:cs="Arial"/>
          <w:bCs/>
        </w:rPr>
      </w:pPr>
      <w:r w:rsidRPr="00C77818">
        <w:rPr>
          <w:rFonts w:cs="Arial"/>
          <w:bCs/>
        </w:rPr>
        <w:lastRenderedPageBreak/>
        <w:t>Given that there is a high prevalence of drug-seeking behaviour for opioids, and there is a high risk these drugs may</w:t>
      </w:r>
      <w:r w:rsidR="00C77818" w:rsidRPr="00C77818">
        <w:rPr>
          <w:rFonts w:cs="Arial"/>
          <w:bCs/>
        </w:rPr>
        <w:t xml:space="preserve"> </w:t>
      </w:r>
      <w:r w:rsidRPr="00C77818">
        <w:rPr>
          <w:rFonts w:cs="Arial"/>
          <w:bCs/>
        </w:rPr>
        <w:t>be sought and diverted for misuse or trafficking, it is important that each doctor independently makes a thorough</w:t>
      </w:r>
      <w:r w:rsidR="00C77818" w:rsidRPr="00C77818">
        <w:rPr>
          <w:rFonts w:cs="Arial"/>
          <w:bCs/>
        </w:rPr>
        <w:t xml:space="preserve"> </w:t>
      </w:r>
      <w:r w:rsidRPr="00C77818">
        <w:rPr>
          <w:rFonts w:cs="Arial"/>
          <w:bCs/>
        </w:rPr>
        <w:t>clinical assessment of each patient</w:t>
      </w:r>
      <w:r w:rsidRPr="00C77818">
        <w:rPr>
          <w:rFonts w:cs="Arial" w:hint="eastAsia"/>
          <w:bCs/>
        </w:rPr>
        <w:t>’</w:t>
      </w:r>
      <w:r w:rsidRPr="00C77818">
        <w:rPr>
          <w:rFonts w:cs="Arial"/>
          <w:bCs/>
        </w:rPr>
        <w:t>s opioid use, and develops a pain management treatment plan consistent with</w:t>
      </w:r>
      <w:r w:rsidR="00C77818" w:rsidRPr="00C77818">
        <w:rPr>
          <w:rFonts w:cs="Arial"/>
          <w:bCs/>
        </w:rPr>
        <w:t xml:space="preserve"> </w:t>
      </w:r>
      <w:r w:rsidRPr="00C77818">
        <w:rPr>
          <w:rFonts w:cs="Arial"/>
          <w:bCs/>
        </w:rPr>
        <w:t xml:space="preserve">clinical guidelines. </w:t>
      </w:r>
      <w:r w:rsidR="00C77818" w:rsidRPr="00C77818">
        <w:rPr>
          <w:rFonts w:cs="Arial"/>
          <w:bCs/>
        </w:rPr>
        <w:t xml:space="preserve">Doctors must satisfy themselves </w:t>
      </w:r>
      <w:r w:rsidRPr="00C77818">
        <w:rPr>
          <w:rFonts w:cs="Arial"/>
          <w:bCs/>
        </w:rPr>
        <w:t>that the full range of treatment options is used, which may or may</w:t>
      </w:r>
      <w:r w:rsidR="00C77818" w:rsidRPr="00C77818">
        <w:rPr>
          <w:rFonts w:cs="Arial"/>
          <w:bCs/>
        </w:rPr>
        <w:t xml:space="preserve"> </w:t>
      </w:r>
      <w:r w:rsidRPr="00C77818">
        <w:rPr>
          <w:rFonts w:cs="Arial"/>
          <w:bCs/>
        </w:rPr>
        <w:t>not include opioid medications.</w:t>
      </w:r>
    </w:p>
    <w:p w14:paraId="55A547A5" w14:textId="08FDE7BF" w:rsidR="00BF6FC6" w:rsidRPr="00C77818" w:rsidRDefault="00BF6FC6" w:rsidP="00732A9A">
      <w:pPr>
        <w:pStyle w:val="ListParagraph"/>
        <w:numPr>
          <w:ilvl w:val="0"/>
          <w:numId w:val="33"/>
        </w:numPr>
        <w:spacing w:after="0" w:line="360" w:lineRule="auto"/>
        <w:ind w:left="357" w:hanging="357"/>
        <w:rPr>
          <w:rFonts w:cs="Arial"/>
          <w:bCs/>
        </w:rPr>
      </w:pPr>
      <w:r w:rsidRPr="00C77818">
        <w:rPr>
          <w:rFonts w:cs="Arial"/>
          <w:bCs/>
        </w:rPr>
        <w:t>Examination of the patient should include checking for evidence of intravenous or other injecting drug use, or drug or</w:t>
      </w:r>
      <w:r w:rsidR="00C77818" w:rsidRPr="00C77818">
        <w:rPr>
          <w:rFonts w:cs="Arial"/>
          <w:bCs/>
        </w:rPr>
        <w:t xml:space="preserve"> </w:t>
      </w:r>
      <w:r w:rsidRPr="00C77818">
        <w:rPr>
          <w:rFonts w:cs="Arial"/>
          <w:bCs/>
        </w:rPr>
        <w:t>alcohol intoxication.</w:t>
      </w:r>
    </w:p>
    <w:p w14:paraId="08443E1B" w14:textId="70354F8D" w:rsidR="00BF6FC6" w:rsidRPr="00C77818" w:rsidRDefault="00BF6FC6" w:rsidP="00732A9A">
      <w:pPr>
        <w:pStyle w:val="ListParagraph"/>
        <w:numPr>
          <w:ilvl w:val="0"/>
          <w:numId w:val="33"/>
        </w:numPr>
        <w:spacing w:after="0" w:line="360" w:lineRule="auto"/>
        <w:ind w:left="357" w:hanging="357"/>
        <w:rPr>
          <w:rFonts w:cs="Arial"/>
          <w:bCs/>
        </w:rPr>
      </w:pPr>
      <w:r w:rsidRPr="00C77818">
        <w:rPr>
          <w:rFonts w:cs="Arial"/>
          <w:bCs/>
        </w:rPr>
        <w:t>Evidence that the state or territory drugs and poisons unit or pharmaceutical services unit has a notification of</w:t>
      </w:r>
      <w:r w:rsidR="00C77818" w:rsidRPr="00C77818">
        <w:rPr>
          <w:rFonts w:cs="Arial"/>
          <w:bCs/>
        </w:rPr>
        <w:t xml:space="preserve"> </w:t>
      </w:r>
      <w:r w:rsidRPr="00C77818">
        <w:rPr>
          <w:rFonts w:cs="Arial"/>
          <w:bCs/>
        </w:rPr>
        <w:t>dependence or has issued a permit for long-term opioid prescribing may be sought (for contact details, visit www.tga.gov.au/industry/scheduling-st-contacts.htm).</w:t>
      </w:r>
    </w:p>
    <w:p w14:paraId="19B64215" w14:textId="6D52EF1A" w:rsidR="00BF6FC6" w:rsidRPr="00C77818" w:rsidRDefault="00BF6FC6" w:rsidP="00732A9A">
      <w:pPr>
        <w:pStyle w:val="ListParagraph"/>
        <w:numPr>
          <w:ilvl w:val="0"/>
          <w:numId w:val="33"/>
        </w:numPr>
        <w:spacing w:after="0" w:line="360" w:lineRule="auto"/>
        <w:ind w:left="357" w:hanging="357"/>
        <w:rPr>
          <w:rFonts w:cs="Arial"/>
          <w:bCs/>
        </w:rPr>
      </w:pPr>
      <w:r w:rsidRPr="00C77818">
        <w:rPr>
          <w:rFonts w:cs="Arial"/>
          <w:bCs/>
        </w:rPr>
        <w:t>Information may be sought from the Prescription Shopping Information Service (PSIS) operated by the Pharmaceutical</w:t>
      </w:r>
      <w:r w:rsidR="00C77818" w:rsidRPr="00C77818">
        <w:rPr>
          <w:rFonts w:cs="Arial"/>
          <w:bCs/>
        </w:rPr>
        <w:t xml:space="preserve"> </w:t>
      </w:r>
      <w:r w:rsidRPr="00C77818">
        <w:rPr>
          <w:rFonts w:cs="Arial"/>
          <w:bCs/>
        </w:rPr>
        <w:t>Benefits Scheme. This requires prior registration with the PSIS (telephone 1800 631 181 or, for more information,</w:t>
      </w:r>
      <w:r w:rsidR="00C77818" w:rsidRPr="00C77818">
        <w:rPr>
          <w:rFonts w:cs="Arial"/>
          <w:bCs/>
        </w:rPr>
        <w:t xml:space="preserve"> </w:t>
      </w:r>
      <w:r w:rsidRPr="00C77818">
        <w:rPr>
          <w:rFonts w:cs="Arial"/>
          <w:bCs/>
        </w:rPr>
        <w:t>www.medicareaustralia.gov.au/provider/pbs/prescription-shopping/index.jsp).</w:t>
      </w:r>
    </w:p>
    <w:p w14:paraId="6ABF054E" w14:textId="1A8E4019" w:rsidR="006D1284" w:rsidRPr="00C77818" w:rsidRDefault="00BF6FC6" w:rsidP="00732A9A">
      <w:pPr>
        <w:pStyle w:val="ListParagraph"/>
        <w:numPr>
          <w:ilvl w:val="0"/>
          <w:numId w:val="33"/>
        </w:numPr>
        <w:spacing w:after="0" w:line="360" w:lineRule="auto"/>
        <w:ind w:left="357" w:hanging="357"/>
        <w:rPr>
          <w:rFonts w:cs="Arial"/>
          <w:bCs/>
        </w:rPr>
      </w:pPr>
      <w:r w:rsidRPr="00C77818">
        <w:rPr>
          <w:rFonts w:cs="Arial"/>
          <w:bCs/>
        </w:rPr>
        <w:t>A baseline urine drug test (UDT) will be performed at the initial visit, with a request to include detection of oxycodone</w:t>
      </w:r>
      <w:r w:rsidR="00C77818" w:rsidRPr="00C77818">
        <w:rPr>
          <w:rFonts w:cs="Arial"/>
          <w:bCs/>
        </w:rPr>
        <w:t xml:space="preserve"> </w:t>
      </w:r>
      <w:r w:rsidRPr="00C77818">
        <w:rPr>
          <w:rFonts w:cs="Arial"/>
          <w:bCs/>
        </w:rPr>
        <w:t>and other drugs not usually recognis</w:t>
      </w:r>
      <w:r w:rsidR="00C77818" w:rsidRPr="00C77818">
        <w:rPr>
          <w:rFonts w:cs="Arial"/>
          <w:bCs/>
        </w:rPr>
        <w:t xml:space="preserve">ed by immunoassay. Detection of </w:t>
      </w:r>
      <w:r w:rsidRPr="00C77818">
        <w:rPr>
          <w:rFonts w:cs="Arial"/>
          <w:bCs/>
        </w:rPr>
        <w:t>oxycodone requires a gas chromatographymass spectrometry (GC</w:t>
      </w:r>
      <w:r w:rsidRPr="00C77818">
        <w:rPr>
          <w:rFonts w:cs="Arial" w:hint="eastAsia"/>
          <w:bCs/>
        </w:rPr>
        <w:t>–</w:t>
      </w:r>
      <w:r w:rsidRPr="00C77818">
        <w:rPr>
          <w:rFonts w:cs="Arial"/>
          <w:bCs/>
        </w:rPr>
        <w:t>MS) test.</w:t>
      </w:r>
    </w:p>
    <w:p w14:paraId="38778075" w14:textId="14A44434" w:rsidR="00C77818" w:rsidRPr="00C77818" w:rsidRDefault="00BF6FC6" w:rsidP="00732A9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357" w:hanging="357"/>
        <w:rPr>
          <w:rFonts w:eastAsia="HelveticaNeueLTStd-Lt" w:cs="Arial"/>
          <w:color w:val="auto"/>
          <w:szCs w:val="20"/>
        </w:rPr>
      </w:pPr>
      <w:r w:rsidRPr="00C77818">
        <w:rPr>
          <w:rFonts w:eastAsia="HelveticaNeueLTStd-Lt" w:cs="Arial"/>
          <w:color w:val="auto"/>
          <w:szCs w:val="20"/>
        </w:rPr>
        <w:t>Schedule a follow-up visit for when UDT results and medical records are available.</w:t>
      </w:r>
    </w:p>
    <w:p w14:paraId="6C33FA62" w14:textId="636B8872" w:rsidR="00BF6FC6" w:rsidRPr="00C77818" w:rsidRDefault="00BF6FC6" w:rsidP="00732A9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357" w:hanging="357"/>
        <w:rPr>
          <w:rFonts w:eastAsia="HelveticaNeueLTStd-Lt" w:cs="Arial"/>
          <w:color w:val="auto"/>
          <w:szCs w:val="20"/>
        </w:rPr>
      </w:pPr>
      <w:r w:rsidRPr="00C77818">
        <w:rPr>
          <w:rFonts w:eastAsia="HelveticaNeueLTStd-Lt" w:cs="Arial"/>
          <w:color w:val="auto"/>
          <w:szCs w:val="20"/>
        </w:rPr>
        <w:t>A patient information leaflet regarding the practice policies and procedure</w:t>
      </w:r>
      <w:r w:rsidR="00C77818" w:rsidRPr="00C77818">
        <w:rPr>
          <w:rFonts w:eastAsia="HelveticaNeueLTStd-Lt" w:cs="Arial"/>
          <w:color w:val="auto"/>
          <w:szCs w:val="20"/>
        </w:rPr>
        <w:t xml:space="preserve">s for pain management should be </w:t>
      </w:r>
      <w:r w:rsidRPr="00C77818">
        <w:rPr>
          <w:rFonts w:eastAsia="HelveticaNeueLTStd-Lt" w:cs="Arial"/>
          <w:color w:val="auto"/>
          <w:szCs w:val="20"/>
        </w:rPr>
        <w:t>provided.</w:t>
      </w:r>
    </w:p>
    <w:p w14:paraId="4B0DF8D5" w14:textId="77777777" w:rsidR="00C77818" w:rsidRPr="00BF6FC6" w:rsidRDefault="00C77818" w:rsidP="00732A9A">
      <w:p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</w:p>
    <w:p w14:paraId="21197345" w14:textId="77777777" w:rsidR="00BF6FC6" w:rsidRDefault="00BF6FC6" w:rsidP="00732A9A">
      <w:p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C77818">
        <w:rPr>
          <w:rFonts w:eastAsia="HelveticaNeueLTStd-Lt" w:cs="Arial"/>
          <w:b/>
          <w:color w:val="auto"/>
          <w:szCs w:val="20"/>
        </w:rPr>
        <w:t>Policy statement</w:t>
      </w:r>
      <w:r w:rsidRPr="00BF6FC6">
        <w:rPr>
          <w:rFonts w:eastAsia="HelveticaNeueLTStd-Lt" w:cs="Arial"/>
          <w:color w:val="auto"/>
          <w:szCs w:val="20"/>
        </w:rPr>
        <w:t xml:space="preserve"> – In the event of problematic drug use being identified, doctors at this practice should:</w:t>
      </w:r>
    </w:p>
    <w:p w14:paraId="761B4DF7" w14:textId="77777777" w:rsidR="00C77818" w:rsidRPr="00BF6FC6" w:rsidRDefault="00C77818" w:rsidP="00732A9A">
      <w:p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</w:p>
    <w:p w14:paraId="6867E6AB" w14:textId="312A4407" w:rsidR="00BF6FC6" w:rsidRPr="00C77818" w:rsidRDefault="00BF6FC6" w:rsidP="00732A9A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C77818">
        <w:rPr>
          <w:rFonts w:eastAsia="HelveticaNeueLTStd-Lt" w:cs="Arial"/>
          <w:color w:val="auto"/>
          <w:szCs w:val="20"/>
        </w:rPr>
        <w:t>offer remedial programs if this is within the practitioner’s skill set</w:t>
      </w:r>
    </w:p>
    <w:p w14:paraId="75092EB2" w14:textId="5C3EBD7C" w:rsidR="00BF6FC6" w:rsidRPr="00C77818" w:rsidRDefault="00BF6FC6" w:rsidP="00732A9A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C77818">
        <w:rPr>
          <w:rFonts w:eastAsia="HelveticaNeueLTStd-Lt" w:cs="Arial"/>
          <w:color w:val="auto"/>
          <w:szCs w:val="20"/>
        </w:rPr>
        <w:t>offer referral to appropriate drug misuse agencies. Appropriate nearby referral agencies include:</w:t>
      </w:r>
    </w:p>
    <w:p w14:paraId="7C51572D" w14:textId="74FA7737" w:rsidR="00BF6FC6" w:rsidRPr="00C77818" w:rsidRDefault="00BF6FC6" w:rsidP="00732A9A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C77818">
        <w:rPr>
          <w:rFonts w:eastAsia="HelveticaNeueLTStd-Lt" w:cs="Arial"/>
          <w:color w:val="auto"/>
          <w:szCs w:val="20"/>
        </w:rPr>
        <w:t>[</w:t>
      </w:r>
      <w:r w:rsidRPr="00C77818">
        <w:rPr>
          <w:rFonts w:eastAsia="HelveticaNeueLTStd-Lt" w:cs="Arial"/>
          <w:i/>
          <w:iCs/>
          <w:color w:val="auto"/>
          <w:szCs w:val="20"/>
        </w:rPr>
        <w:t>Insert appropriate local agencies</w:t>
      </w:r>
      <w:r w:rsidRPr="00C77818">
        <w:rPr>
          <w:rFonts w:eastAsia="HelveticaNeueLTStd-Lt" w:cs="Arial"/>
          <w:color w:val="auto"/>
          <w:szCs w:val="20"/>
        </w:rPr>
        <w:t>]</w:t>
      </w:r>
    </w:p>
    <w:p w14:paraId="73DD5F61" w14:textId="77777777" w:rsidR="00C77818" w:rsidRPr="00BF6FC6" w:rsidRDefault="00C77818" w:rsidP="00732A9A">
      <w:p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</w:p>
    <w:p w14:paraId="6E756C2E" w14:textId="36BAAE72" w:rsidR="00BF6FC6" w:rsidRDefault="00BF6FC6" w:rsidP="00732A9A">
      <w:p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C77818">
        <w:rPr>
          <w:rFonts w:eastAsia="HelveticaNeueLTStd-Lt" w:cs="Arial"/>
          <w:b/>
          <w:color w:val="auto"/>
          <w:szCs w:val="20"/>
        </w:rPr>
        <w:t>Policy statement</w:t>
      </w:r>
      <w:r w:rsidRPr="00BF6FC6">
        <w:rPr>
          <w:rFonts w:eastAsia="HelveticaNeueLTStd-Lt" w:cs="Arial"/>
          <w:color w:val="auto"/>
          <w:szCs w:val="20"/>
        </w:rPr>
        <w:t xml:space="preserve"> – This practice deems the following to be high risk and in need of refe</w:t>
      </w:r>
      <w:r w:rsidR="00C77818">
        <w:rPr>
          <w:rFonts w:eastAsia="HelveticaNeueLTStd-Lt" w:cs="Arial"/>
          <w:color w:val="auto"/>
          <w:szCs w:val="20"/>
        </w:rPr>
        <w:t xml:space="preserve">rral to public alcohol and drug </w:t>
      </w:r>
      <w:r w:rsidRPr="00BF6FC6">
        <w:rPr>
          <w:rFonts w:eastAsia="HelveticaNeueLTStd-Lt" w:cs="Arial"/>
          <w:color w:val="auto"/>
          <w:szCs w:val="20"/>
        </w:rPr>
        <w:t>facilities, or a general practitioner with advanced training in addiction medicine:</w:t>
      </w:r>
    </w:p>
    <w:p w14:paraId="34691C6E" w14:textId="77777777" w:rsidR="00C77818" w:rsidRPr="00BF6FC6" w:rsidRDefault="00C77818" w:rsidP="00732A9A">
      <w:p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</w:p>
    <w:p w14:paraId="29C40411" w14:textId="3246617E" w:rsidR="00BF6FC6" w:rsidRPr="00C77818" w:rsidRDefault="00BF6FC6" w:rsidP="00732A9A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C77818">
        <w:rPr>
          <w:rFonts w:eastAsia="HelveticaNeueLTStd-Lt" w:cs="Arial"/>
          <w:color w:val="auto"/>
          <w:szCs w:val="20"/>
        </w:rPr>
        <w:t>[</w:t>
      </w:r>
      <w:r w:rsidRPr="00C77818">
        <w:rPr>
          <w:rFonts w:eastAsia="HelveticaNeueLTStd-Lt" w:cs="Arial"/>
          <w:i/>
          <w:iCs/>
          <w:color w:val="auto"/>
          <w:szCs w:val="20"/>
        </w:rPr>
        <w:t>Strike out or add as required</w:t>
      </w:r>
      <w:r w:rsidRPr="00C77818">
        <w:rPr>
          <w:rFonts w:eastAsia="HelveticaNeueLTStd-Lt" w:cs="Arial"/>
          <w:color w:val="auto"/>
          <w:szCs w:val="20"/>
        </w:rPr>
        <w:t>]</w:t>
      </w:r>
    </w:p>
    <w:p w14:paraId="5FDCD49E" w14:textId="7C3D7DB1" w:rsidR="00BF6FC6" w:rsidRPr="00C77818" w:rsidRDefault="00BF6FC6" w:rsidP="00732A9A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C77818">
        <w:rPr>
          <w:rFonts w:eastAsia="HelveticaNeueLTStd-Lt" w:cs="Arial"/>
          <w:color w:val="auto"/>
          <w:szCs w:val="20"/>
        </w:rPr>
        <w:t>patients with serious mental illness, or antipsychotic medication</w:t>
      </w:r>
    </w:p>
    <w:p w14:paraId="35D5A670" w14:textId="4626A66F" w:rsidR="00BF6FC6" w:rsidRPr="00C77818" w:rsidRDefault="00BF6FC6" w:rsidP="00732A9A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C77818">
        <w:rPr>
          <w:rFonts w:eastAsia="HelveticaNeueLTStd-Lt" w:cs="Arial"/>
          <w:color w:val="auto"/>
          <w:szCs w:val="20"/>
        </w:rPr>
        <w:t>past family or personal history of substance misuse</w:t>
      </w:r>
    </w:p>
    <w:p w14:paraId="605EE5E3" w14:textId="6AC2C411" w:rsidR="00BF6FC6" w:rsidRPr="00C77818" w:rsidRDefault="00BF6FC6" w:rsidP="00732A9A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C77818">
        <w:rPr>
          <w:rFonts w:eastAsia="HelveticaNeueLTStd-Lt" w:cs="Arial"/>
          <w:color w:val="auto"/>
          <w:szCs w:val="20"/>
        </w:rPr>
        <w:t>mixed use of opioids and illicit drugs</w:t>
      </w:r>
    </w:p>
    <w:p w14:paraId="33A60F15" w14:textId="7F172DD4" w:rsidR="00BF6FC6" w:rsidRPr="00C77818" w:rsidRDefault="00BF6FC6" w:rsidP="00732A9A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C77818">
        <w:rPr>
          <w:rFonts w:eastAsia="HelveticaNeueLTStd-Lt" w:cs="Arial"/>
          <w:color w:val="auto"/>
          <w:szCs w:val="20"/>
        </w:rPr>
        <w:lastRenderedPageBreak/>
        <w:t>mixed use of opioids and benzodiazepines</w:t>
      </w:r>
    </w:p>
    <w:p w14:paraId="210AE723" w14:textId="7FF5FA8F" w:rsidR="00C77818" w:rsidRPr="00C77818" w:rsidRDefault="00BF6FC6" w:rsidP="00732A9A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C77818">
        <w:rPr>
          <w:rFonts w:eastAsia="HelveticaNeueLTStd-Lt" w:cs="Arial"/>
          <w:color w:val="auto"/>
          <w:szCs w:val="20"/>
        </w:rPr>
        <w:t>recent discharge from correctional services facility</w:t>
      </w:r>
    </w:p>
    <w:p w14:paraId="22E1E972" w14:textId="16C7A2D7" w:rsidR="00BF6FC6" w:rsidRPr="00C77818" w:rsidRDefault="00BF6FC6" w:rsidP="00732A9A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C77818">
        <w:rPr>
          <w:rFonts w:eastAsia="HelveticaNeueLTStd-Lt" w:cs="Arial"/>
          <w:color w:val="auto"/>
          <w:szCs w:val="20"/>
        </w:rPr>
        <w:t>patients discharged from other general practices due to problematic behaviour.</w:t>
      </w:r>
    </w:p>
    <w:p w14:paraId="6EA09F31" w14:textId="77777777" w:rsidR="00C77818" w:rsidRPr="00BF6FC6" w:rsidRDefault="00C77818" w:rsidP="00732A9A">
      <w:p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</w:p>
    <w:p w14:paraId="67ECA945" w14:textId="1CD41303" w:rsidR="00BF6FC6" w:rsidRDefault="00BF6FC6" w:rsidP="00732A9A">
      <w:p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C77818">
        <w:rPr>
          <w:rFonts w:eastAsia="HelveticaNeueLTStd-Lt" w:cs="Arial"/>
          <w:b/>
          <w:color w:val="auto"/>
          <w:szCs w:val="20"/>
        </w:rPr>
        <w:t>Policy statement</w:t>
      </w:r>
      <w:r w:rsidRPr="00BF6FC6">
        <w:rPr>
          <w:rFonts w:eastAsia="HelveticaNeueLTStd-Lt" w:cs="Arial"/>
          <w:color w:val="auto"/>
          <w:szCs w:val="20"/>
        </w:rPr>
        <w:t xml:space="preserve"> – In the event that clinical need for opioid therapy is justified, doctors </w:t>
      </w:r>
      <w:r w:rsidR="00C77818">
        <w:rPr>
          <w:rFonts w:eastAsia="HelveticaNeueLTStd-Lt" w:cs="Arial"/>
          <w:color w:val="auto"/>
          <w:szCs w:val="20"/>
        </w:rPr>
        <w:t xml:space="preserve">at this practice should observe </w:t>
      </w:r>
      <w:r w:rsidRPr="00BF6FC6">
        <w:rPr>
          <w:rFonts w:eastAsia="HelveticaNeueLTStd-Lt" w:cs="Arial"/>
          <w:color w:val="auto"/>
          <w:szCs w:val="20"/>
        </w:rPr>
        <w:t>the following practice requirements:</w:t>
      </w:r>
    </w:p>
    <w:p w14:paraId="6333EDAD" w14:textId="77777777" w:rsidR="00C77818" w:rsidRPr="00BF6FC6" w:rsidRDefault="00C77818" w:rsidP="00732A9A">
      <w:p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</w:p>
    <w:p w14:paraId="4DC1A666" w14:textId="096C79EE" w:rsidR="00BF6FC6" w:rsidRPr="00C77818" w:rsidRDefault="00BF6FC6" w:rsidP="00732A9A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C77818">
        <w:rPr>
          <w:rFonts w:eastAsia="HelveticaNeueLTStd-Lt" w:cs="Arial"/>
          <w:color w:val="auto"/>
          <w:szCs w:val="20"/>
        </w:rPr>
        <w:t xml:space="preserve">There is a comprehensive evaluation of the patient’s condition and analgesic </w:t>
      </w:r>
      <w:r w:rsidR="00C77818" w:rsidRPr="00C77818">
        <w:rPr>
          <w:rFonts w:eastAsia="HelveticaNeueLTStd-Lt" w:cs="Arial"/>
          <w:color w:val="auto"/>
          <w:szCs w:val="20"/>
        </w:rPr>
        <w:t xml:space="preserve">modalities which are documented </w:t>
      </w:r>
      <w:r w:rsidRPr="00C77818">
        <w:rPr>
          <w:rFonts w:eastAsia="HelveticaNeueLTStd-Lt" w:cs="Arial"/>
          <w:color w:val="auto"/>
          <w:szCs w:val="20"/>
        </w:rPr>
        <w:t>within a treatment plan and recorded in the notes.</w:t>
      </w:r>
    </w:p>
    <w:p w14:paraId="017142D5" w14:textId="5CC973F4" w:rsidR="00BF6FC6" w:rsidRPr="00C77818" w:rsidRDefault="00BF6FC6" w:rsidP="00732A9A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C77818">
        <w:rPr>
          <w:rFonts w:eastAsia="HelveticaNeueLTStd-Lt" w:cs="Arial"/>
          <w:color w:val="auto"/>
          <w:szCs w:val="20"/>
        </w:rPr>
        <w:t>Doctors should prescribe opioids according to their best clinical judgement, particularly if this is less than the</w:t>
      </w:r>
      <w:r w:rsidR="00C77818">
        <w:rPr>
          <w:rFonts w:eastAsia="HelveticaNeueLTStd-Lt" w:cs="Arial"/>
          <w:color w:val="auto"/>
          <w:szCs w:val="20"/>
        </w:rPr>
        <w:t xml:space="preserve"> </w:t>
      </w:r>
      <w:r w:rsidRPr="00C77818">
        <w:rPr>
          <w:rFonts w:eastAsia="HelveticaNeueLTStd-Lt" w:cs="Arial"/>
          <w:color w:val="auto"/>
          <w:szCs w:val="20"/>
        </w:rPr>
        <w:t>wishes of patients, the recommendations of consultants, or the practices of the patient’s previous doctors.</w:t>
      </w:r>
    </w:p>
    <w:p w14:paraId="711D8C1D" w14:textId="16A0D38D" w:rsidR="00BF6FC6" w:rsidRPr="00C77818" w:rsidRDefault="00BF6FC6" w:rsidP="00732A9A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C77818">
        <w:rPr>
          <w:rFonts w:eastAsia="HelveticaNeueLTStd-Lt" w:cs="Arial"/>
          <w:color w:val="auto"/>
          <w:szCs w:val="20"/>
        </w:rPr>
        <w:t>Patients taking inappropriate doses should be advised that the dose will be tapered in the near future.</w:t>
      </w:r>
    </w:p>
    <w:p w14:paraId="15953138" w14:textId="72CB5C9B" w:rsidR="00BF6FC6" w:rsidRPr="00C77818" w:rsidRDefault="00BF6FC6" w:rsidP="00732A9A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C77818">
        <w:rPr>
          <w:rFonts w:eastAsia="HelveticaNeueLTStd-Lt" w:cs="Arial"/>
          <w:color w:val="auto"/>
          <w:szCs w:val="20"/>
        </w:rPr>
        <w:t>Patients who are unwilling to comply with the taper should be referred to specialist or public health services.</w:t>
      </w:r>
    </w:p>
    <w:p w14:paraId="39DD1CE2" w14:textId="10C0058D" w:rsidR="00BF6FC6" w:rsidRPr="00C77818" w:rsidRDefault="00BF6FC6" w:rsidP="00732A9A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C77818">
        <w:rPr>
          <w:rFonts w:eastAsia="HelveticaNeueLTStd-Lt" w:cs="Arial"/>
          <w:color w:val="auto"/>
          <w:szCs w:val="20"/>
        </w:rPr>
        <w:t>Relevant permits to prescribe should be obtained from the state or territory drugs and poisons unit or</w:t>
      </w:r>
      <w:r w:rsidR="00C77818">
        <w:rPr>
          <w:rFonts w:eastAsia="HelveticaNeueLTStd-Lt" w:cs="Arial"/>
          <w:color w:val="auto"/>
          <w:szCs w:val="20"/>
        </w:rPr>
        <w:t xml:space="preserve"> </w:t>
      </w:r>
      <w:r w:rsidRPr="00C77818">
        <w:rPr>
          <w:rFonts w:eastAsia="HelveticaNeueLTStd-Lt" w:cs="Arial"/>
          <w:color w:val="auto"/>
          <w:szCs w:val="20"/>
        </w:rPr>
        <w:t>pharmaceutical services. In the case of continuing prescribing, this should be sought immediately if the patient has</w:t>
      </w:r>
      <w:r w:rsidR="00C77818">
        <w:rPr>
          <w:rFonts w:eastAsia="HelveticaNeueLTStd-Lt" w:cs="Arial"/>
          <w:color w:val="auto"/>
          <w:szCs w:val="20"/>
        </w:rPr>
        <w:t xml:space="preserve"> </w:t>
      </w:r>
      <w:r w:rsidRPr="00C77818">
        <w:rPr>
          <w:rFonts w:eastAsia="HelveticaNeueLTStd-Lt" w:cs="Arial"/>
          <w:color w:val="auto"/>
          <w:szCs w:val="20"/>
        </w:rPr>
        <w:t>been receiving opioid treatment for 8 weeks or longer. This will enable coordination o</w:t>
      </w:r>
      <w:r w:rsidR="00C77818" w:rsidRPr="00C77818">
        <w:rPr>
          <w:rFonts w:eastAsia="HelveticaNeueLTStd-Lt" w:cs="Arial"/>
          <w:color w:val="auto"/>
          <w:szCs w:val="20"/>
        </w:rPr>
        <w:t xml:space="preserve">f treatment and reduce the risk </w:t>
      </w:r>
      <w:r w:rsidRPr="00C77818">
        <w:rPr>
          <w:rFonts w:eastAsia="HelveticaNeueLTStd-Lt" w:cs="Arial"/>
          <w:color w:val="auto"/>
          <w:szCs w:val="20"/>
        </w:rPr>
        <w:t>that previous prescribers will continue prescribing concurrently.</w:t>
      </w:r>
    </w:p>
    <w:p w14:paraId="4A209E86" w14:textId="77777777" w:rsidR="00C77818" w:rsidRDefault="00C77818" w:rsidP="00732A9A">
      <w:p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</w:p>
    <w:p w14:paraId="7924B708" w14:textId="7D9DFE8F" w:rsidR="00BF6FC6" w:rsidRDefault="00BF6FC6" w:rsidP="00732A9A">
      <w:p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C77818">
        <w:rPr>
          <w:rFonts w:eastAsia="HelveticaNeueLTStd-Lt" w:cs="Arial"/>
          <w:b/>
          <w:color w:val="auto"/>
          <w:szCs w:val="20"/>
        </w:rPr>
        <w:t>Policy statement</w:t>
      </w:r>
      <w:r w:rsidRPr="00BF6FC6">
        <w:rPr>
          <w:rFonts w:eastAsia="HelveticaNeueLTStd-Lt" w:cs="Arial"/>
          <w:color w:val="auto"/>
          <w:szCs w:val="20"/>
        </w:rPr>
        <w:t xml:space="preserve"> – Patients who satisfy criteria and are accepted under the continued </w:t>
      </w:r>
      <w:r w:rsidR="00C77818">
        <w:rPr>
          <w:rFonts w:eastAsia="HelveticaNeueLTStd-Lt" w:cs="Arial"/>
          <w:color w:val="auto"/>
          <w:szCs w:val="20"/>
        </w:rPr>
        <w:t xml:space="preserve">care of a single doctor will be </w:t>
      </w:r>
      <w:r w:rsidRPr="00BF6FC6">
        <w:rPr>
          <w:rFonts w:eastAsia="HelveticaNeueLTStd-Lt" w:cs="Arial"/>
          <w:color w:val="auto"/>
          <w:szCs w:val="20"/>
        </w:rPr>
        <w:t>prescribed ongoing medication according to the practice protocols. This includes:</w:t>
      </w:r>
    </w:p>
    <w:p w14:paraId="170704D2" w14:textId="77777777" w:rsidR="00C77818" w:rsidRPr="00BF6FC6" w:rsidRDefault="00C77818" w:rsidP="00732A9A">
      <w:p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</w:p>
    <w:p w14:paraId="108EAC50" w14:textId="4F076944" w:rsidR="00BF6FC6" w:rsidRPr="00C77818" w:rsidRDefault="00BF6FC6" w:rsidP="00732A9A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C77818">
        <w:rPr>
          <w:rFonts w:eastAsia="HelveticaNeueLTStd-Lt" w:cs="Arial"/>
          <w:color w:val="auto"/>
          <w:szCs w:val="20"/>
        </w:rPr>
        <w:t>continued prescribing and management by a single GP within the practice</w:t>
      </w:r>
    </w:p>
    <w:p w14:paraId="4C753D06" w14:textId="7E475AAA" w:rsidR="00BF6FC6" w:rsidRPr="00C77818" w:rsidRDefault="00BF6FC6" w:rsidP="00732A9A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C77818">
        <w:rPr>
          <w:rFonts w:eastAsia="HelveticaNeueLTStd-Lt" w:cs="Arial"/>
          <w:color w:val="auto"/>
          <w:szCs w:val="20"/>
        </w:rPr>
        <w:t>a comprehensive assessment</w:t>
      </w:r>
    </w:p>
    <w:p w14:paraId="48B2DF5A" w14:textId="0ABF0A68" w:rsidR="00BF6FC6" w:rsidRPr="00C77818" w:rsidRDefault="00BF6FC6" w:rsidP="00732A9A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C77818">
        <w:rPr>
          <w:rFonts w:eastAsia="HelveticaNeueLTStd-Lt" w:cs="Arial"/>
          <w:color w:val="auto"/>
          <w:szCs w:val="20"/>
        </w:rPr>
        <w:t>a continued use of allied therapies</w:t>
      </w:r>
    </w:p>
    <w:p w14:paraId="112F672D" w14:textId="2D43CDDC" w:rsidR="00BF6FC6" w:rsidRPr="00C77818" w:rsidRDefault="00BF6FC6" w:rsidP="00732A9A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C77818">
        <w:rPr>
          <w:rFonts w:eastAsia="HelveticaNeueLTStd-Lt" w:cs="Arial"/>
          <w:color w:val="auto"/>
          <w:szCs w:val="20"/>
        </w:rPr>
        <w:t>a contractual approach to opioid use</w:t>
      </w:r>
    </w:p>
    <w:p w14:paraId="6295D6E7" w14:textId="1EC10820" w:rsidR="00BF6FC6" w:rsidRPr="00C77818" w:rsidRDefault="00BF6FC6" w:rsidP="00732A9A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C77818">
        <w:rPr>
          <w:rFonts w:eastAsia="HelveticaNeueLTStd-Lt" w:cs="Arial"/>
          <w:color w:val="auto"/>
          <w:szCs w:val="20"/>
        </w:rPr>
        <w:t>the adoption of universal precautions</w:t>
      </w:r>
    </w:p>
    <w:p w14:paraId="2962468B" w14:textId="007B0B28" w:rsidR="00BF6FC6" w:rsidRPr="00C77818" w:rsidRDefault="00BF6FC6" w:rsidP="00732A9A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C77818">
        <w:rPr>
          <w:rFonts w:eastAsia="HelveticaNeueLTStd-Lt" w:cs="Arial"/>
          <w:color w:val="auto"/>
          <w:szCs w:val="20"/>
        </w:rPr>
        <w:t>a treatment agreement based on informed consent regarding the risks of dependence</w:t>
      </w:r>
    </w:p>
    <w:p w14:paraId="3A39082E" w14:textId="4EE59F42" w:rsidR="00BF6FC6" w:rsidRPr="00C77818" w:rsidRDefault="00BF6FC6" w:rsidP="00732A9A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C77818">
        <w:rPr>
          <w:rFonts w:eastAsia="HelveticaNeueLTStd-Lt" w:cs="Arial"/>
          <w:color w:val="auto"/>
          <w:szCs w:val="20"/>
        </w:rPr>
        <w:t>clear boundaries surrounding the use of opioids</w:t>
      </w:r>
    </w:p>
    <w:p w14:paraId="3842E9D1" w14:textId="3D889364" w:rsidR="00BF6FC6" w:rsidRPr="00732A9A" w:rsidRDefault="00BF6FC6" w:rsidP="00732A9A">
      <w:pPr>
        <w:pStyle w:val="ListParagraph"/>
        <w:numPr>
          <w:ilvl w:val="0"/>
          <w:numId w:val="30"/>
        </w:numPr>
        <w:spacing w:after="0" w:line="360" w:lineRule="auto"/>
        <w:rPr>
          <w:rFonts w:eastAsia="Times New Roman" w:cs="Arial"/>
          <w:color w:val="auto"/>
          <w:szCs w:val="20"/>
          <w:lang w:val="en-GB" w:eastAsia="en-AU"/>
        </w:rPr>
      </w:pPr>
      <w:r w:rsidRPr="00732A9A">
        <w:rPr>
          <w:rFonts w:eastAsia="HelveticaNeueLTStd-Lt" w:cs="Arial"/>
          <w:color w:val="auto"/>
          <w:szCs w:val="20"/>
        </w:rPr>
        <w:t>registration with or under state or territory health laws.</w:t>
      </w:r>
    </w:p>
    <w:p w14:paraId="24217BB5" w14:textId="77777777" w:rsidR="002C4C1B" w:rsidRDefault="002C4C1B" w:rsidP="006D1284">
      <w:pPr>
        <w:spacing w:after="0"/>
        <w:contextualSpacing/>
        <w:rPr>
          <w:rFonts w:eastAsia="Times New Roman" w:cs="Arial"/>
          <w:color w:val="0070C0"/>
          <w:sz w:val="32"/>
          <w:szCs w:val="32"/>
          <w:lang w:val="en-GB" w:eastAsia="en-AU"/>
        </w:rPr>
      </w:pPr>
    </w:p>
    <w:p w14:paraId="281B0689" w14:textId="77777777" w:rsidR="007F1287" w:rsidRDefault="007F1287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2A2BFCD4" w14:textId="77777777" w:rsidR="007F1287" w:rsidRDefault="007F1287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3D3B6511" w14:textId="77777777" w:rsidR="006D1284" w:rsidRDefault="006D1284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  <w:r>
        <w:rPr>
          <w:rFonts w:eastAsia="Times New Roman" w:cs="Arial"/>
          <w:color w:val="0070C0"/>
          <w:sz w:val="28"/>
          <w:szCs w:val="28"/>
          <w:lang w:val="en-GB" w:eastAsia="en-AU"/>
        </w:rPr>
        <w:lastRenderedPageBreak/>
        <w:t>Disclaimer</w:t>
      </w:r>
    </w:p>
    <w:p w14:paraId="76AF16FF" w14:textId="77777777" w:rsidR="007F1287" w:rsidRPr="0002280E" w:rsidRDefault="007F1287" w:rsidP="007F1287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  <w:r w:rsidRPr="0002280E">
        <w:rPr>
          <w:rFonts w:cs="Arial"/>
          <w:sz w:val="16"/>
          <w:szCs w:val="16"/>
        </w:rPr>
        <w:t>The information set out in this publication is current at the date of first publication and is intended for use as a guide of a general nature only and may or may not be relevant to particular patients or circumstances. Nor is this publication exhaustive of the subject matter.</w:t>
      </w:r>
      <w:r>
        <w:rPr>
          <w:rFonts w:cs="Arial"/>
          <w:sz w:val="16"/>
          <w:szCs w:val="16"/>
        </w:rPr>
        <w:t xml:space="preserve"> It is no substitute for individual inquiry. </w:t>
      </w:r>
      <w:r w:rsidRPr="0002280E">
        <w:rPr>
          <w:rFonts w:cs="Arial"/>
          <w:sz w:val="16"/>
          <w:szCs w:val="16"/>
        </w:rPr>
        <w:t xml:space="preserve">Compliance with any recommendations </w:t>
      </w:r>
      <w:r>
        <w:rPr>
          <w:rFonts w:cs="Arial"/>
          <w:sz w:val="16"/>
          <w:szCs w:val="16"/>
        </w:rPr>
        <w:t>does not</w:t>
      </w:r>
      <w:r w:rsidRPr="0002280E">
        <w:rPr>
          <w:rFonts w:cs="Arial"/>
          <w:sz w:val="16"/>
          <w:szCs w:val="16"/>
        </w:rPr>
        <w:t xml:space="preserve"> guarantee discharge of the duty of care owed to patients</w:t>
      </w:r>
      <w:r>
        <w:rPr>
          <w:rFonts w:cs="Arial"/>
          <w:sz w:val="16"/>
          <w:szCs w:val="16"/>
        </w:rPr>
        <w:t xml:space="preserve">. </w:t>
      </w:r>
      <w:r w:rsidRPr="0002280E">
        <w:rPr>
          <w:rFonts w:cs="Arial"/>
          <w:sz w:val="16"/>
          <w:szCs w:val="16"/>
        </w:rPr>
        <w:t xml:space="preserve">The RACGP and its employees and agents </w:t>
      </w:r>
      <w:r>
        <w:rPr>
          <w:rFonts w:cs="Arial"/>
          <w:sz w:val="16"/>
          <w:szCs w:val="16"/>
        </w:rPr>
        <w:t>have</w:t>
      </w:r>
      <w:r w:rsidRPr="0002280E">
        <w:rPr>
          <w:rFonts w:cs="Arial"/>
          <w:sz w:val="16"/>
          <w:szCs w:val="16"/>
        </w:rPr>
        <w:t xml:space="preserve"> no liability (including </w:t>
      </w:r>
      <w:r>
        <w:rPr>
          <w:rFonts w:cs="Arial"/>
          <w:sz w:val="16"/>
          <w:szCs w:val="16"/>
        </w:rPr>
        <w:t>for</w:t>
      </w:r>
      <w:r w:rsidRPr="0002280E">
        <w:rPr>
          <w:rFonts w:cs="Arial"/>
          <w:sz w:val="16"/>
          <w:szCs w:val="16"/>
        </w:rPr>
        <w:t xml:space="preserve"> negligence) to any users of the information contained in this publication</w:t>
      </w:r>
      <w:r>
        <w:rPr>
          <w:rFonts w:cs="Arial"/>
          <w:sz w:val="16"/>
          <w:szCs w:val="16"/>
        </w:rPr>
        <w:t>.</w:t>
      </w:r>
      <w:r w:rsidRPr="0002280E">
        <w:rPr>
          <w:rFonts w:cs="Arial"/>
          <w:sz w:val="16"/>
          <w:szCs w:val="16"/>
        </w:rPr>
        <w:t xml:space="preserve"> </w:t>
      </w:r>
    </w:p>
    <w:p w14:paraId="3612319E" w14:textId="77777777" w:rsidR="007F1287" w:rsidRPr="0002280E" w:rsidRDefault="007F1287" w:rsidP="007F1287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</w:p>
    <w:p w14:paraId="73065356" w14:textId="7502A0D4" w:rsidR="007F1287" w:rsidRPr="002E234A" w:rsidRDefault="007F1287" w:rsidP="007F1287">
      <w:pPr>
        <w:spacing w:after="0" w:line="240" w:lineRule="auto"/>
        <w:rPr>
          <w:rFonts w:cs="Arial"/>
          <w:sz w:val="16"/>
          <w:szCs w:val="16"/>
        </w:rPr>
      </w:pPr>
      <w:r w:rsidRPr="0002280E">
        <w:rPr>
          <w:rFonts w:cs="Arial"/>
          <w:sz w:val="16"/>
          <w:szCs w:val="16"/>
        </w:rPr>
        <w:t xml:space="preserve">© The Royal Australian College of General Practitioners </w:t>
      </w:r>
      <w:r w:rsidR="002E234A">
        <w:rPr>
          <w:rFonts w:cs="Arial"/>
          <w:sz w:val="16"/>
          <w:szCs w:val="16"/>
          <w:highlight w:val="yellow"/>
        </w:rPr>
        <w:t>[</w:t>
      </w:r>
      <w:r w:rsidR="002E234A" w:rsidRPr="002E234A">
        <w:rPr>
          <w:rFonts w:cs="Arial"/>
          <w:sz w:val="16"/>
          <w:szCs w:val="16"/>
        </w:rPr>
        <w:t>2019</w:t>
      </w:r>
      <w:r w:rsidRPr="002E234A">
        <w:rPr>
          <w:rFonts w:cs="Arial"/>
          <w:sz w:val="16"/>
          <w:szCs w:val="16"/>
        </w:rPr>
        <w:t>]</w:t>
      </w:r>
    </w:p>
    <w:p w14:paraId="54B7FB62" w14:textId="77777777" w:rsidR="007F1287" w:rsidRPr="0002280E" w:rsidRDefault="007F1287" w:rsidP="007F1287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</w:p>
    <w:p w14:paraId="3133C33B" w14:textId="77777777" w:rsidR="007F1287" w:rsidRDefault="00FC310E" w:rsidP="007F1287">
      <w:pPr>
        <w:spacing w:after="0" w:line="240" w:lineRule="auto"/>
        <w:rPr>
          <w:rFonts w:cs="Arial"/>
          <w:sz w:val="16"/>
          <w:szCs w:val="16"/>
        </w:rPr>
      </w:pPr>
      <w:hyperlink r:id="rId8" w:history="1"/>
      <w:hyperlink r:id="rId9" w:history="1">
        <w:r w:rsidR="007F1287" w:rsidRPr="000871B9">
          <w:rPr>
            <w:rFonts w:cs="Arial"/>
            <w:sz w:val="16"/>
            <w:szCs w:val="16"/>
          </w:rPr>
          <w:t>This</w:t>
        </w:r>
      </w:hyperlink>
      <w:r w:rsidR="007F1287" w:rsidRPr="000871B9">
        <w:rPr>
          <w:rFonts w:cs="Arial"/>
          <w:sz w:val="16"/>
          <w:szCs w:val="16"/>
        </w:rPr>
        <w:t xml:space="preserve"> resource is provided under licence by the RACGP. Full terms are available at </w:t>
      </w:r>
      <w:hyperlink r:id="rId10" w:history="1">
        <w:r w:rsidR="007F1287" w:rsidRPr="000871B9">
          <w:rPr>
            <w:rStyle w:val="Hyperlink"/>
            <w:rFonts w:cs="Arial"/>
            <w:sz w:val="16"/>
            <w:szCs w:val="16"/>
          </w:rPr>
          <w:t>www.racgp.org.au/usage/licence</w:t>
        </w:r>
      </w:hyperlink>
      <w:r w:rsidR="007F1287">
        <w:rPr>
          <w:rFonts w:cs="Arial"/>
          <w:sz w:val="16"/>
          <w:szCs w:val="16"/>
        </w:rPr>
        <w:t xml:space="preserve"> </w:t>
      </w:r>
    </w:p>
    <w:p w14:paraId="29D5861A" w14:textId="77777777" w:rsidR="007F1287" w:rsidRDefault="007F1287" w:rsidP="007F1287">
      <w:pPr>
        <w:spacing w:after="0" w:line="240" w:lineRule="auto"/>
        <w:rPr>
          <w:rFonts w:cs="Arial"/>
          <w:sz w:val="16"/>
          <w:szCs w:val="16"/>
        </w:rPr>
      </w:pPr>
    </w:p>
    <w:p w14:paraId="7F865AD9" w14:textId="77777777" w:rsidR="007F1287" w:rsidRPr="0002280E" w:rsidRDefault="007F1287" w:rsidP="007F1287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  <w:r w:rsidRPr="00787505">
        <w:rPr>
          <w:rFonts w:cs="Arial"/>
          <w:i/>
          <w:sz w:val="16"/>
          <w:szCs w:val="16"/>
        </w:rPr>
        <w:t>We acknowledge the Traditional Custodians of the lands and seas on which we work and live, and pay our respects to Elders, past, present and future.</w:t>
      </w:r>
    </w:p>
    <w:p w14:paraId="7FA0F5C5" w14:textId="77777777" w:rsidR="006D1284" w:rsidRDefault="006D1284" w:rsidP="006D1284"/>
    <w:p w14:paraId="68AAD35B" w14:textId="40CF28A2" w:rsidR="00062BE7" w:rsidRPr="006D1284" w:rsidRDefault="00062BE7" w:rsidP="006D1284"/>
    <w:sectPr w:rsidR="00062BE7" w:rsidRPr="006D1284" w:rsidSect="001D0673">
      <w:headerReference w:type="default" r:id="rId11"/>
      <w:footerReference w:type="default" r:id="rId12"/>
      <w:pgSz w:w="11906" w:h="16838"/>
      <w:pgMar w:top="226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9D64F" w14:textId="77777777" w:rsidR="008C7DFE" w:rsidRDefault="0071358B">
      <w:pPr>
        <w:spacing w:after="0" w:line="240" w:lineRule="auto"/>
      </w:pPr>
      <w:r>
        <w:separator/>
      </w:r>
    </w:p>
  </w:endnote>
  <w:endnote w:type="continuationSeparator" w:id="0">
    <w:p w14:paraId="7B5B36B5" w14:textId="77777777" w:rsidR="008C7DFE" w:rsidRDefault="00713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NeueLTStd-Lt">
    <w:altName w:val="Arial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lantinMTStd-LightItalic">
    <w:altName w:val="MV Boli"/>
    <w:charset w:val="00"/>
    <w:family w:val="roman"/>
    <w:pitch w:val="variable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510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1D7ED7" w14:textId="03C92249" w:rsidR="001D0673" w:rsidRDefault="001D0673" w:rsidP="001D0673">
        <w:pPr>
          <w:pStyle w:val="Footer"/>
        </w:pPr>
      </w:p>
      <w:p w14:paraId="5597AD4F" w14:textId="021FDB17" w:rsidR="00865FA8" w:rsidRDefault="00120180" w:rsidP="004764D3">
        <w:pPr>
          <w:pStyle w:val="Footer"/>
        </w:pP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310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6E09A2C" w14:textId="77777777" w:rsidR="00865FA8" w:rsidRDefault="00FC31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E9085" w14:textId="77777777" w:rsidR="008C7DFE" w:rsidRDefault="0071358B">
      <w:pPr>
        <w:spacing w:after="0" w:line="240" w:lineRule="auto"/>
      </w:pPr>
      <w:r>
        <w:separator/>
      </w:r>
    </w:p>
  </w:footnote>
  <w:footnote w:type="continuationSeparator" w:id="0">
    <w:p w14:paraId="7F4332B3" w14:textId="77777777" w:rsidR="008C7DFE" w:rsidRDefault="00713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14C8A" w14:textId="498F7963" w:rsidR="00865FA8" w:rsidRDefault="00120180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7216" behindDoc="1" locked="0" layoutInCell="1" allowOverlap="1" wp14:anchorId="24DF3E5C" wp14:editId="0DF3A4B4">
          <wp:simplePos x="914400" y="447675"/>
          <wp:positionH relativeFrom="page">
            <wp:align>left</wp:align>
          </wp:positionH>
          <wp:positionV relativeFrom="page">
            <wp:align>top</wp:align>
          </wp:positionV>
          <wp:extent cx="7540953" cy="10666799"/>
          <wp:effectExtent l="0" t="0" r="3175" b="127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CGP_letterhead_June201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953" cy="106667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370E"/>
    <w:multiLevelType w:val="hybridMultilevel"/>
    <w:tmpl w:val="974A6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7874"/>
    <w:multiLevelType w:val="hybridMultilevel"/>
    <w:tmpl w:val="7CE4B3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923D2D"/>
    <w:multiLevelType w:val="hybridMultilevel"/>
    <w:tmpl w:val="63AC4B7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1F4604"/>
    <w:multiLevelType w:val="hybridMultilevel"/>
    <w:tmpl w:val="A82E7FC0"/>
    <w:lvl w:ilvl="0" w:tplc="0C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8E6E15"/>
    <w:multiLevelType w:val="hybridMultilevel"/>
    <w:tmpl w:val="EAF44130"/>
    <w:lvl w:ilvl="0" w:tplc="2DA815A6">
      <w:numFmt w:val="bullet"/>
      <w:lvlText w:val="•"/>
      <w:lvlJc w:val="left"/>
      <w:pPr>
        <w:ind w:left="720" w:hanging="360"/>
      </w:pPr>
      <w:rPr>
        <w:rFonts w:ascii="Arial" w:eastAsia="HelveticaNeueLTStd-Lt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758D6"/>
    <w:multiLevelType w:val="hybridMultilevel"/>
    <w:tmpl w:val="07FE11D0"/>
    <w:lvl w:ilvl="0" w:tplc="000ACD6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E78C8"/>
    <w:multiLevelType w:val="hybridMultilevel"/>
    <w:tmpl w:val="B9BAA6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CC5453"/>
    <w:multiLevelType w:val="hybridMultilevel"/>
    <w:tmpl w:val="850E100E"/>
    <w:lvl w:ilvl="0" w:tplc="2DA815A6">
      <w:numFmt w:val="bullet"/>
      <w:lvlText w:val="•"/>
      <w:lvlJc w:val="left"/>
      <w:pPr>
        <w:ind w:left="360" w:hanging="360"/>
      </w:pPr>
      <w:rPr>
        <w:rFonts w:ascii="Arial" w:eastAsia="HelveticaNeueLTStd-Lt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8049EF"/>
    <w:multiLevelType w:val="hybridMultilevel"/>
    <w:tmpl w:val="318C2C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F612F"/>
    <w:multiLevelType w:val="hybridMultilevel"/>
    <w:tmpl w:val="4008FE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0050F"/>
    <w:multiLevelType w:val="hybridMultilevel"/>
    <w:tmpl w:val="C4AA55CC"/>
    <w:lvl w:ilvl="0" w:tplc="2DA815A6">
      <w:numFmt w:val="bullet"/>
      <w:lvlText w:val="•"/>
      <w:lvlJc w:val="left"/>
      <w:pPr>
        <w:ind w:left="720" w:hanging="360"/>
      </w:pPr>
      <w:rPr>
        <w:rFonts w:ascii="Arial" w:eastAsia="HelveticaNeueLTStd-Lt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4306F"/>
    <w:multiLevelType w:val="hybridMultilevel"/>
    <w:tmpl w:val="8F287D5A"/>
    <w:lvl w:ilvl="0" w:tplc="2DA815A6">
      <w:numFmt w:val="bullet"/>
      <w:lvlText w:val="•"/>
      <w:lvlJc w:val="left"/>
      <w:pPr>
        <w:ind w:left="720" w:hanging="360"/>
      </w:pPr>
      <w:rPr>
        <w:rFonts w:ascii="Arial" w:eastAsia="HelveticaNeueLTStd-Lt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66DC2"/>
    <w:multiLevelType w:val="hybridMultilevel"/>
    <w:tmpl w:val="EE5A7AB6"/>
    <w:lvl w:ilvl="0" w:tplc="000ACD6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A83FD8"/>
    <w:multiLevelType w:val="hybridMultilevel"/>
    <w:tmpl w:val="EE548E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2E3F36"/>
    <w:multiLevelType w:val="hybridMultilevel"/>
    <w:tmpl w:val="990CD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BB03AE"/>
    <w:multiLevelType w:val="hybridMultilevel"/>
    <w:tmpl w:val="9B0EDE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167A3C"/>
    <w:multiLevelType w:val="hybridMultilevel"/>
    <w:tmpl w:val="B20AAB7A"/>
    <w:lvl w:ilvl="0" w:tplc="2DA815A6">
      <w:numFmt w:val="bullet"/>
      <w:lvlText w:val="•"/>
      <w:lvlJc w:val="left"/>
      <w:pPr>
        <w:ind w:left="720" w:hanging="360"/>
      </w:pPr>
      <w:rPr>
        <w:rFonts w:ascii="Arial" w:eastAsia="HelveticaNeueLTStd-Lt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61839"/>
    <w:multiLevelType w:val="hybridMultilevel"/>
    <w:tmpl w:val="E8E06EF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902118"/>
    <w:multiLevelType w:val="hybridMultilevel"/>
    <w:tmpl w:val="91F607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3864F4"/>
    <w:multiLevelType w:val="hybridMultilevel"/>
    <w:tmpl w:val="8152C1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33C9A"/>
    <w:multiLevelType w:val="hybridMultilevel"/>
    <w:tmpl w:val="339C57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9B3663"/>
    <w:multiLevelType w:val="hybridMultilevel"/>
    <w:tmpl w:val="3EC0A8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E554DB"/>
    <w:multiLevelType w:val="hybridMultilevel"/>
    <w:tmpl w:val="30F2F8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5D3D0F"/>
    <w:multiLevelType w:val="hybridMultilevel"/>
    <w:tmpl w:val="D90C3CD2"/>
    <w:lvl w:ilvl="0" w:tplc="2DA815A6">
      <w:numFmt w:val="bullet"/>
      <w:lvlText w:val="•"/>
      <w:lvlJc w:val="left"/>
      <w:pPr>
        <w:ind w:left="720" w:hanging="360"/>
      </w:pPr>
      <w:rPr>
        <w:rFonts w:ascii="Arial" w:eastAsia="HelveticaNeueLTStd-Lt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BD7474"/>
    <w:multiLevelType w:val="hybridMultilevel"/>
    <w:tmpl w:val="CB783DA2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FE31C93"/>
    <w:multiLevelType w:val="hybridMultilevel"/>
    <w:tmpl w:val="B450FA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C97A39"/>
    <w:multiLevelType w:val="hybridMultilevel"/>
    <w:tmpl w:val="49EC69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EC3373"/>
    <w:multiLevelType w:val="hybridMultilevel"/>
    <w:tmpl w:val="EC1E01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A67F93"/>
    <w:multiLevelType w:val="hybridMultilevel"/>
    <w:tmpl w:val="13DE6C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344B74"/>
    <w:multiLevelType w:val="hybridMultilevel"/>
    <w:tmpl w:val="5DD65C50"/>
    <w:lvl w:ilvl="0" w:tplc="53240BF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07111D"/>
    <w:multiLevelType w:val="hybridMultilevel"/>
    <w:tmpl w:val="8FEE4104"/>
    <w:lvl w:ilvl="0" w:tplc="A60ED59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293945"/>
    <w:multiLevelType w:val="hybridMultilevel"/>
    <w:tmpl w:val="9AF062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A9440C"/>
    <w:multiLevelType w:val="hybridMultilevel"/>
    <w:tmpl w:val="A912C144"/>
    <w:lvl w:ilvl="0" w:tplc="000ACD6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E24E25"/>
    <w:multiLevelType w:val="hybridMultilevel"/>
    <w:tmpl w:val="9B4C4C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F0061E"/>
    <w:multiLevelType w:val="hybridMultilevel"/>
    <w:tmpl w:val="7570E9A2"/>
    <w:lvl w:ilvl="0" w:tplc="000ACD6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F944BF"/>
    <w:multiLevelType w:val="multilevel"/>
    <w:tmpl w:val="E49E21A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  <w:rPr>
        <w:sz w:val="24"/>
        <w:szCs w:val="24"/>
      </w:rPr>
    </w:lvl>
    <w:lvl w:ilvl="1">
      <w:start w:val="1"/>
      <w:numFmt w:val="none"/>
      <w:lvlText w:val="8A"/>
      <w:lvlJc w:val="left"/>
      <w:pPr>
        <w:tabs>
          <w:tab w:val="num" w:pos="850"/>
        </w:tabs>
        <w:ind w:left="850" w:hanging="850"/>
      </w:pPr>
    </w:lvl>
    <w:lvl w:ilvl="2">
      <w:start w:val="1"/>
      <w:numFmt w:val="lowerLetter"/>
      <w:lvlRestart w:val="0"/>
      <w:lvlText w:val="(%3)"/>
      <w:lvlJc w:val="left"/>
      <w:pPr>
        <w:tabs>
          <w:tab w:val="num" w:pos="2553"/>
        </w:tabs>
        <w:ind w:left="2553" w:hanging="851"/>
      </w:pPr>
      <w:rPr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2170"/>
        </w:tabs>
        <w:ind w:left="2170" w:hanging="850"/>
      </w:pPr>
    </w:lvl>
    <w:lvl w:ilvl="4">
      <w:start w:val="1"/>
      <w:numFmt w:val="upperLetter"/>
      <w:lvlText w:val="(%5)"/>
      <w:lvlJc w:val="left"/>
      <w:pPr>
        <w:tabs>
          <w:tab w:val="num" w:pos="3829"/>
        </w:tabs>
        <w:ind w:left="3829" w:hanging="851"/>
      </w:pPr>
    </w:lvl>
    <w:lvl w:ilvl="5">
      <w:start w:val="4"/>
      <w:numFmt w:val="decimal"/>
      <w:lvlRestart w:val="2"/>
      <w:lvlText w:val="(%6)"/>
      <w:lvlJc w:val="left"/>
      <w:pPr>
        <w:tabs>
          <w:tab w:val="num" w:pos="936"/>
        </w:tabs>
        <w:ind w:left="936" w:hanging="510"/>
      </w:pPr>
    </w:lvl>
    <w:lvl w:ilvl="6">
      <w:start w:val="1"/>
      <w:numFmt w:val="upperLetter"/>
      <w:lvlText w:val="(%6%7)"/>
      <w:lvlJc w:val="left"/>
      <w:pPr>
        <w:tabs>
          <w:tab w:val="num" w:pos="850"/>
        </w:tabs>
        <w:ind w:left="850" w:hanging="51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567"/>
        </w:tabs>
        <w:ind w:left="1582" w:hanging="1582"/>
      </w:pPr>
    </w:lvl>
  </w:abstractNum>
  <w:num w:numId="1">
    <w:abstractNumId w:val="33"/>
  </w:num>
  <w:num w:numId="2">
    <w:abstractNumId w:val="18"/>
  </w:num>
  <w:num w:numId="3">
    <w:abstractNumId w:val="24"/>
  </w:num>
  <w:num w:numId="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4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0"/>
  </w:num>
  <w:num w:numId="7">
    <w:abstractNumId w:val="27"/>
  </w:num>
  <w:num w:numId="8">
    <w:abstractNumId w:val="26"/>
  </w:num>
  <w:num w:numId="9">
    <w:abstractNumId w:val="14"/>
  </w:num>
  <w:num w:numId="10">
    <w:abstractNumId w:val="19"/>
  </w:num>
  <w:num w:numId="11">
    <w:abstractNumId w:val="1"/>
  </w:num>
  <w:num w:numId="12">
    <w:abstractNumId w:val="34"/>
  </w:num>
  <w:num w:numId="13">
    <w:abstractNumId w:val="12"/>
  </w:num>
  <w:num w:numId="14">
    <w:abstractNumId w:val="5"/>
  </w:num>
  <w:num w:numId="15">
    <w:abstractNumId w:val="32"/>
  </w:num>
  <w:num w:numId="16">
    <w:abstractNumId w:val="3"/>
  </w:num>
  <w:num w:numId="17">
    <w:abstractNumId w:val="21"/>
  </w:num>
  <w:num w:numId="18">
    <w:abstractNumId w:val="10"/>
  </w:num>
  <w:num w:numId="19">
    <w:abstractNumId w:val="7"/>
  </w:num>
  <w:num w:numId="20">
    <w:abstractNumId w:val="13"/>
  </w:num>
  <w:num w:numId="21">
    <w:abstractNumId w:val="9"/>
  </w:num>
  <w:num w:numId="22">
    <w:abstractNumId w:val="16"/>
  </w:num>
  <w:num w:numId="23">
    <w:abstractNumId w:val="6"/>
  </w:num>
  <w:num w:numId="24">
    <w:abstractNumId w:val="28"/>
  </w:num>
  <w:num w:numId="25">
    <w:abstractNumId w:val="4"/>
  </w:num>
  <w:num w:numId="26">
    <w:abstractNumId w:val="11"/>
  </w:num>
  <w:num w:numId="27">
    <w:abstractNumId w:val="17"/>
  </w:num>
  <w:num w:numId="28">
    <w:abstractNumId w:val="15"/>
  </w:num>
  <w:num w:numId="29">
    <w:abstractNumId w:val="23"/>
  </w:num>
  <w:num w:numId="30">
    <w:abstractNumId w:val="2"/>
  </w:num>
  <w:num w:numId="31">
    <w:abstractNumId w:val="8"/>
  </w:num>
  <w:num w:numId="32">
    <w:abstractNumId w:val="30"/>
  </w:num>
  <w:num w:numId="33">
    <w:abstractNumId w:val="20"/>
  </w:num>
  <w:num w:numId="34">
    <w:abstractNumId w:val="31"/>
  </w:num>
  <w:num w:numId="35">
    <w:abstractNumId w:val="29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6FB"/>
    <w:rsid w:val="00062BE7"/>
    <w:rsid w:val="00120180"/>
    <w:rsid w:val="001D0673"/>
    <w:rsid w:val="002C4C1B"/>
    <w:rsid w:val="002E234A"/>
    <w:rsid w:val="003736FB"/>
    <w:rsid w:val="003A7CE5"/>
    <w:rsid w:val="004416A5"/>
    <w:rsid w:val="00465E70"/>
    <w:rsid w:val="004A430C"/>
    <w:rsid w:val="005B1E07"/>
    <w:rsid w:val="006D1284"/>
    <w:rsid w:val="006F064E"/>
    <w:rsid w:val="006F7257"/>
    <w:rsid w:val="0071358B"/>
    <w:rsid w:val="00732A9A"/>
    <w:rsid w:val="007F1287"/>
    <w:rsid w:val="008168BD"/>
    <w:rsid w:val="008509BF"/>
    <w:rsid w:val="008C7DFE"/>
    <w:rsid w:val="00A4502D"/>
    <w:rsid w:val="00BF419D"/>
    <w:rsid w:val="00BF6FC6"/>
    <w:rsid w:val="00C77818"/>
    <w:rsid w:val="00E24909"/>
    <w:rsid w:val="00E94D6E"/>
    <w:rsid w:val="00FC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63A1CD"/>
  <w15:chartTrackingRefBased/>
  <w15:docId w15:val="{164A6D1A-6769-4C89-B982-4112A1E5A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6FB"/>
    <w:pPr>
      <w:spacing w:after="200" w:line="276" w:lineRule="auto"/>
    </w:pPr>
    <w:rPr>
      <w:rFonts w:ascii="Arial" w:hAnsi="Arial"/>
      <w:color w:val="282828"/>
      <w:sz w:val="20"/>
    </w:rPr>
  </w:style>
  <w:style w:type="paragraph" w:styleId="Heading1">
    <w:name w:val="heading 1"/>
    <w:aliases w:val="h1,c"/>
    <w:basedOn w:val="Normal"/>
    <w:next w:val="Normal"/>
    <w:link w:val="Heading1Char"/>
    <w:uiPriority w:val="9"/>
    <w:qFormat/>
    <w:rsid w:val="003736FB"/>
    <w:pPr>
      <w:keepNext/>
      <w:keepLines/>
      <w:spacing w:before="480" w:after="0"/>
      <w:outlineLvl w:val="0"/>
    </w:pPr>
    <w:rPr>
      <w:rFonts w:ascii="Georgia" w:eastAsiaTheme="majorEastAsia" w:hAnsi="Georgia" w:cstheme="majorBidi"/>
      <w:bCs/>
      <w:i/>
      <w:sz w:val="36"/>
      <w:szCs w:val="28"/>
    </w:rPr>
  </w:style>
  <w:style w:type="paragraph" w:styleId="Heading2">
    <w:name w:val="heading 2"/>
    <w:aliases w:val="h2,Contents Heading,Contents,- Main,3...,2m,Level 2 Head,h2 main heading,B Sub/Bold,B Sub/Bold1,B Sub/Bold2,B Sub/Bold11,h2 main heading1,h2 main heading2,B Sub/Bold3,B Sub/Bold12,h2 main heading3,B Sub/Bold4,B Sub/Bold13,H2,Para2,SubPara,body"/>
    <w:basedOn w:val="Normal"/>
    <w:next w:val="Normal"/>
    <w:link w:val="Heading2Char"/>
    <w:uiPriority w:val="9"/>
    <w:semiHidden/>
    <w:unhideWhenUsed/>
    <w:qFormat/>
    <w:rsid w:val="006D1284"/>
    <w:pPr>
      <w:keepNext/>
      <w:tabs>
        <w:tab w:val="num" w:pos="850"/>
      </w:tabs>
      <w:autoSpaceDE w:val="0"/>
      <w:autoSpaceDN w:val="0"/>
      <w:spacing w:before="240" w:after="60" w:line="240" w:lineRule="auto"/>
      <w:ind w:left="850" w:hanging="850"/>
      <w:outlineLvl w:val="1"/>
    </w:pPr>
    <w:rPr>
      <w:rFonts w:eastAsia="Times New Roman" w:cs="Arial"/>
      <w:iCs/>
      <w:color w:val="auto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c Char"/>
    <w:basedOn w:val="DefaultParagraphFont"/>
    <w:link w:val="Heading1"/>
    <w:uiPriority w:val="9"/>
    <w:rsid w:val="003736FB"/>
    <w:rPr>
      <w:rFonts w:ascii="Georgia" w:eastAsiaTheme="majorEastAsia" w:hAnsi="Georgia" w:cstheme="majorBidi"/>
      <w:bCs/>
      <w:i/>
      <w:color w:val="282828"/>
      <w:sz w:val="36"/>
      <w:szCs w:val="28"/>
    </w:rPr>
  </w:style>
  <w:style w:type="paragraph" w:styleId="Header">
    <w:name w:val="header"/>
    <w:basedOn w:val="Normal"/>
    <w:link w:val="HeaderChar"/>
    <w:uiPriority w:val="99"/>
    <w:unhideWhenUsed/>
    <w:rsid w:val="003736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6FB"/>
    <w:rPr>
      <w:rFonts w:ascii="Arial" w:hAnsi="Arial"/>
      <w:color w:val="282828"/>
      <w:sz w:val="20"/>
    </w:rPr>
  </w:style>
  <w:style w:type="paragraph" w:styleId="Footer">
    <w:name w:val="footer"/>
    <w:basedOn w:val="Normal"/>
    <w:link w:val="FooterChar"/>
    <w:uiPriority w:val="99"/>
    <w:unhideWhenUsed/>
    <w:rsid w:val="003736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6FB"/>
    <w:rPr>
      <w:rFonts w:ascii="Arial" w:hAnsi="Arial"/>
      <w:color w:val="282828"/>
      <w:sz w:val="20"/>
    </w:rPr>
  </w:style>
  <w:style w:type="paragraph" w:styleId="ListParagraph">
    <w:name w:val="List Paragraph"/>
    <w:basedOn w:val="Normal"/>
    <w:uiPriority w:val="34"/>
    <w:qFormat/>
    <w:rsid w:val="003736FB"/>
    <w:pPr>
      <w:ind w:left="720"/>
      <w:contextualSpacing/>
    </w:pPr>
  </w:style>
  <w:style w:type="character" w:styleId="Hyperlink">
    <w:name w:val="Hyperlink"/>
    <w:uiPriority w:val="99"/>
    <w:rsid w:val="003736FB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736FB"/>
    <w:pPr>
      <w:spacing w:line="240" w:lineRule="auto"/>
    </w:pPr>
    <w:rPr>
      <w:rFonts w:asciiTheme="minorHAnsi" w:hAnsiTheme="minorHAnsi"/>
      <w:color w:val="auto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36FB"/>
    <w:rPr>
      <w:sz w:val="20"/>
      <w:szCs w:val="20"/>
      <w:lang w:val="en-GB"/>
    </w:rPr>
  </w:style>
  <w:style w:type="paragraph" w:customStyle="1" w:styleId="MB-Body">
    <w:name w:val="MB - Body"/>
    <w:basedOn w:val="Normal"/>
    <w:qFormat/>
    <w:rsid w:val="003736FB"/>
    <w:pPr>
      <w:widowControl w:val="0"/>
      <w:spacing w:after="120" w:line="252" w:lineRule="auto"/>
      <w:ind w:right="57"/>
    </w:pPr>
    <w:rPr>
      <w:rFonts w:eastAsia="Arial" w:cs="Arial"/>
      <w:color w:val="231F20"/>
      <w:sz w:val="19"/>
      <w:szCs w:val="19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736F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6FB"/>
    <w:rPr>
      <w:rFonts w:ascii="Segoe UI" w:hAnsi="Segoe UI" w:cs="Segoe UI"/>
      <w:color w:val="282828"/>
      <w:sz w:val="18"/>
      <w:szCs w:val="18"/>
    </w:rPr>
  </w:style>
  <w:style w:type="character" w:customStyle="1" w:styleId="Heading2Char">
    <w:name w:val="Heading 2 Char"/>
    <w:aliases w:val="h2 Char,Contents Heading Char,Contents Char,- Main Char,3... Char,2m Char,Level 2 Head Char,h2 main heading Char,B Sub/Bold Char,B Sub/Bold1 Char,B Sub/Bold2 Char,B Sub/Bold11 Char,h2 main heading1 Char,h2 main heading2 Char,H2 Char"/>
    <w:basedOn w:val="DefaultParagraphFont"/>
    <w:link w:val="Heading2"/>
    <w:uiPriority w:val="9"/>
    <w:semiHidden/>
    <w:rsid w:val="006D1284"/>
    <w:rPr>
      <w:rFonts w:ascii="Arial" w:eastAsia="Times New Roman" w:hAnsi="Arial" w:cs="Arial"/>
      <w:iCs/>
      <w:sz w:val="24"/>
      <w:szCs w:val="28"/>
    </w:rPr>
  </w:style>
  <w:style w:type="paragraph" w:styleId="NoSpacing">
    <w:name w:val="No Spacing"/>
    <w:uiPriority w:val="1"/>
    <w:qFormat/>
    <w:rsid w:val="006D1284"/>
    <w:pPr>
      <w:tabs>
        <w:tab w:val="num" w:pos="2170"/>
      </w:tabs>
      <w:spacing w:after="0" w:line="240" w:lineRule="auto"/>
      <w:ind w:left="2170" w:hanging="850"/>
    </w:pPr>
  </w:style>
  <w:style w:type="paragraph" w:customStyle="1" w:styleId="Default">
    <w:name w:val="Default"/>
    <w:rsid w:val="006D1284"/>
    <w:pPr>
      <w:tabs>
        <w:tab w:val="num" w:pos="3829"/>
      </w:tabs>
      <w:autoSpaceDE w:val="0"/>
      <w:autoSpaceDN w:val="0"/>
      <w:adjustRightInd w:val="0"/>
      <w:spacing w:after="0" w:line="240" w:lineRule="auto"/>
      <w:ind w:left="3829" w:hanging="851"/>
    </w:pPr>
    <w:rPr>
      <w:rFonts w:ascii="Calibri" w:hAnsi="Calibri" w:cs="Calibri"/>
      <w:color w:val="000000"/>
      <w:sz w:val="24"/>
      <w:szCs w:val="24"/>
    </w:rPr>
  </w:style>
  <w:style w:type="paragraph" w:customStyle="1" w:styleId="MBHeader01">
    <w:name w:val="MB Header 01"/>
    <w:basedOn w:val="Normal"/>
    <w:qFormat/>
    <w:rsid w:val="006D1284"/>
    <w:pPr>
      <w:tabs>
        <w:tab w:val="num" w:pos="936"/>
      </w:tabs>
      <w:spacing w:before="360" w:after="60"/>
      <w:ind w:left="936" w:right="-23" w:hanging="510"/>
    </w:pPr>
    <w:rPr>
      <w:rFonts w:eastAsia="PlantinMTStd-LightItalic" w:cs="PlantinMTStd-LightItalic"/>
      <w:color w:val="4EAE87"/>
      <w:sz w:val="40"/>
      <w:szCs w:val="20"/>
    </w:rPr>
  </w:style>
  <w:style w:type="character" w:customStyle="1" w:styleId="HealthnumLevel5Char">
    <w:name w:val="Health (num) Level 5 Char"/>
    <w:link w:val="HealthnumLevel5"/>
    <w:locked/>
    <w:rsid w:val="006D1284"/>
    <w:rPr>
      <w:rFonts w:ascii="Times New Roman" w:eastAsia="Times New Roman" w:hAnsi="Times New Roman" w:cs="Times New Roman"/>
      <w:sz w:val="24"/>
      <w:szCs w:val="24"/>
    </w:rPr>
  </w:style>
  <w:style w:type="paragraph" w:customStyle="1" w:styleId="HealthnumLevel5">
    <w:name w:val="Health (num) Level 5"/>
    <w:basedOn w:val="Normal"/>
    <w:link w:val="HealthnumLevel5Char"/>
    <w:rsid w:val="006D1284"/>
    <w:pPr>
      <w:tabs>
        <w:tab w:val="num" w:pos="850"/>
        <w:tab w:val="num" w:pos="936"/>
      </w:tabs>
      <w:autoSpaceDE w:val="0"/>
      <w:autoSpaceDN w:val="0"/>
      <w:spacing w:before="180" w:after="0" w:line="260" w:lineRule="exact"/>
      <w:ind w:left="850" w:hanging="510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acgp.org.au/clinical-resources/clinical-guidelines/key-racgp-guidelines/view-all-racgp-guidelines/prescribing-drugs-of-dependence/prescribing-drugs-of-dependence-part-a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racgp.org.au/usage/licen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hi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1203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Hereward</dc:creator>
  <cp:keywords/>
  <dc:description/>
  <cp:lastModifiedBy>Kim Smith</cp:lastModifiedBy>
  <cp:revision>2</cp:revision>
  <dcterms:created xsi:type="dcterms:W3CDTF">2019-06-03T23:11:00Z</dcterms:created>
  <dcterms:modified xsi:type="dcterms:W3CDTF">2019-06-03T23:11:00Z</dcterms:modified>
</cp:coreProperties>
</file>