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941C" w14:textId="77777777" w:rsidR="0084166D" w:rsidRDefault="0084166D" w:rsidP="0084166D"/>
    <w:p w14:paraId="4C185C5A" w14:textId="6F52E3AD" w:rsidR="00501526" w:rsidRDefault="005F7E32" w:rsidP="00501526">
      <w:r w:rsidRPr="005F7E32">
        <w:rPr>
          <w:rFonts w:asciiTheme="majorHAnsi" w:eastAsiaTheme="majorEastAsia" w:hAnsiTheme="majorHAnsi" w:cstheme="majorBidi"/>
          <w:color w:val="11364D" w:themeColor="text1"/>
          <w:sz w:val="44"/>
          <w:szCs w:val="44"/>
        </w:rPr>
        <w:t>Activity 3 – Testing alternative billing arrangements and strategies</w:t>
      </w:r>
    </w:p>
    <w:p w14:paraId="2660B4BD" w14:textId="77777777" w:rsidR="00DA72CD" w:rsidRDefault="00ED7584" w:rsidP="00DA72CD">
      <w:pPr>
        <w:pStyle w:val="Heading2"/>
        <w:spacing w:after="0"/>
        <w:rPr>
          <w:sz w:val="28"/>
          <w:szCs w:val="28"/>
        </w:rPr>
      </w:pPr>
      <w:r w:rsidRPr="00ED7584">
        <w:rPr>
          <w:sz w:val="28"/>
          <w:szCs w:val="28"/>
        </w:rPr>
        <w:t xml:space="preserve">Task 1 – Case study application </w:t>
      </w:r>
    </w:p>
    <w:p w14:paraId="3A550105" w14:textId="0E4C763D" w:rsidR="00501526" w:rsidRPr="00DA72CD" w:rsidRDefault="00B27AC4" w:rsidP="00DA72CD">
      <w:pPr>
        <w:rPr>
          <w:sz w:val="28"/>
          <w:szCs w:val="28"/>
        </w:rPr>
      </w:pPr>
      <w:r w:rsidRPr="00A8347C">
        <w:rPr>
          <w:noProof/>
        </w:rPr>
        <w:drawing>
          <wp:anchor distT="0" distB="0" distL="114300" distR="114300" simplePos="0" relativeHeight="251659264" behindDoc="0" locked="0" layoutInCell="1" allowOverlap="1" wp14:anchorId="793F002A" wp14:editId="64B8733C">
            <wp:simplePos x="0" y="0"/>
            <wp:positionH relativeFrom="margin">
              <wp:align>right</wp:align>
            </wp:positionH>
            <wp:positionV relativeFrom="margin">
              <wp:align>top</wp:align>
            </wp:positionV>
            <wp:extent cx="1706245" cy="1706245"/>
            <wp:effectExtent l="0" t="0" r="8255" b="8255"/>
            <wp:wrapSquare wrapText="bothSides"/>
            <wp:docPr id="77849392"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9392" name="Picture 1" descr="A qr code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6245" cy="1706245"/>
                    </a:xfrm>
                    <a:prstGeom prst="rect">
                      <a:avLst/>
                    </a:prstGeom>
                  </pic:spPr>
                </pic:pic>
              </a:graphicData>
            </a:graphic>
          </wp:anchor>
        </w:drawing>
      </w:r>
      <w:r w:rsidR="00981C00" w:rsidRPr="006E70C2">
        <w:rPr>
          <w:noProof/>
          <w:sz w:val="36"/>
          <w:szCs w:val="36"/>
        </w:rPr>
        <mc:AlternateContent>
          <mc:Choice Requires="wps">
            <w:drawing>
              <wp:anchor distT="45720" distB="45720" distL="114300" distR="114300" simplePos="0" relativeHeight="251661312" behindDoc="0" locked="0" layoutInCell="1" allowOverlap="1" wp14:anchorId="412E0113" wp14:editId="7232664B">
                <wp:simplePos x="0" y="0"/>
                <wp:positionH relativeFrom="column">
                  <wp:posOffset>4408009</wp:posOffset>
                </wp:positionH>
                <wp:positionV relativeFrom="paragraph">
                  <wp:posOffset>162570</wp:posOffset>
                </wp:positionV>
                <wp:extent cx="1644015" cy="4159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415925"/>
                        </a:xfrm>
                        <a:prstGeom prst="rect">
                          <a:avLst/>
                        </a:prstGeom>
                        <a:solidFill>
                          <a:srgbClr val="FFFFFF"/>
                        </a:solidFill>
                        <a:ln w="9525">
                          <a:noFill/>
                          <a:miter lim="800000"/>
                          <a:headEnd/>
                          <a:tailEnd/>
                        </a:ln>
                      </wps:spPr>
                      <wps:txbx>
                        <w:txbxContent>
                          <w:p w14:paraId="3FDC4909" w14:textId="77777777" w:rsidR="00981C00" w:rsidRPr="006E70C2" w:rsidRDefault="00981C00" w:rsidP="00981C00">
                            <w:pPr>
                              <w:jc w:val="center"/>
                              <w:rPr>
                                <w:b/>
                                <w:bCs/>
                              </w:rPr>
                            </w:pPr>
                            <w:r w:rsidRPr="006E70C2">
                              <w:rPr>
                                <w:b/>
                                <w:bCs/>
                              </w:rPr>
                              <w:t>Scan the QR code to log your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2E0113" id="_x0000_t202" coordsize="21600,21600" o:spt="202" path="m,l,21600r21600,l21600,xe">
                <v:stroke joinstyle="miter"/>
                <v:path gradientshapeok="t" o:connecttype="rect"/>
              </v:shapetype>
              <v:shape id="Text Box 2" o:spid="_x0000_s1026" type="#_x0000_t202" style="position:absolute;margin-left:347.1pt;margin-top:12.8pt;width:129.45pt;height: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" stroked="f">
                <v:textbox>
                  <w:txbxContent>
                    <w:p w14:paraId="3FDC4909" w14:textId="77777777" w:rsidR="00981C00" w:rsidRPr="006E70C2" w:rsidRDefault="00981C00" w:rsidP="00981C00">
                      <w:pPr>
                        <w:jc w:val="center"/>
                        <w:rPr>
                          <w:b/>
                          <w:bCs/>
                        </w:rPr>
                      </w:pPr>
                      <w:r w:rsidRPr="006E70C2">
                        <w:rPr>
                          <w:b/>
                          <w:bCs/>
                        </w:rPr>
                        <w:t>Scan the QR code to log your activity</w:t>
                      </w:r>
                    </w:p>
                  </w:txbxContent>
                </v:textbox>
                <w10:wrap type="square"/>
              </v:shape>
            </w:pict>
          </mc:Fallback>
        </mc:AlternateContent>
      </w:r>
    </w:p>
    <w:p w14:paraId="27422F79" w14:textId="6EC8C5D0" w:rsidR="007E08C7" w:rsidRPr="00DA72CD" w:rsidRDefault="00DA72CD" w:rsidP="007E08C7">
      <w:pPr>
        <w:rPr>
          <w:rFonts w:eastAsiaTheme="minorHAnsi" w:cstheme="minorBidi"/>
          <w:b/>
          <w:color w:val="184D6E" w:themeColor="text1" w:themeTint="E6"/>
          <w:sz w:val="20"/>
          <w:szCs w:val="24"/>
          <w:lang w:val="en-NZ" w:eastAsia="en-GB"/>
        </w:rPr>
      </w:pPr>
      <w:r w:rsidRPr="00DA72CD">
        <w:rPr>
          <w:rFonts w:eastAsiaTheme="minorHAnsi" w:cstheme="minorBidi"/>
          <w:b/>
          <w:color w:val="184D6E" w:themeColor="text1" w:themeTint="E6"/>
          <w:sz w:val="20"/>
          <w:szCs w:val="24"/>
          <w:lang w:val="en-NZ" w:eastAsia="en-GB"/>
        </w:rPr>
        <w:t xml:space="preserve">Case study 3 </w:t>
      </w:r>
    </w:p>
    <w:p w14:paraId="4F473A8E" w14:textId="235A9B8D" w:rsidR="007E08C7" w:rsidRDefault="007E08C7" w:rsidP="007E08C7"/>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7E08C7" w14:paraId="1ADFF9D8" w14:textId="77777777" w:rsidTr="007E08C7">
        <w:tc>
          <w:tcPr>
            <w:tcW w:w="9622" w:type="dxa"/>
          </w:tcPr>
          <w:p w14:paraId="68FD8667" w14:textId="77777777" w:rsidR="007E08C7" w:rsidRDefault="007E08C7" w:rsidP="007E08C7">
            <w:pPr>
              <w:rPr>
                <w:b/>
                <w:bCs/>
                <w:i/>
                <w:iCs/>
                <w:szCs w:val="18"/>
              </w:rPr>
            </w:pPr>
            <w:r>
              <w:rPr>
                <w:b/>
                <w:bCs/>
                <w:i/>
                <w:iCs/>
                <w:szCs w:val="18"/>
              </w:rPr>
              <w:t xml:space="preserve">Ensure you keep adequate records of your activity as you may be audited by the RACGP or Medical Board of Australia (MBA). The MBA requires evidence of your annual CPD activities to be retained for three years. See evidence guide </w:t>
            </w:r>
            <w:hyperlink r:id="rId13" w:history="1">
              <w:r w:rsidRPr="006B4C39">
                <w:rPr>
                  <w:rStyle w:val="Hyperlink"/>
                  <w:b/>
                  <w:bCs/>
                  <w:i/>
                  <w:iCs/>
                  <w:color w:val="008074" w:themeColor="accent3"/>
                  <w:szCs w:val="18"/>
                </w:rPr>
                <w:t>here</w:t>
              </w:r>
            </w:hyperlink>
            <w:r>
              <w:rPr>
                <w:b/>
                <w:bCs/>
                <w:i/>
                <w:iCs/>
                <w:szCs w:val="18"/>
              </w:rPr>
              <w:t xml:space="preserve">. </w:t>
            </w:r>
          </w:p>
          <w:p w14:paraId="3E5D42FF" w14:textId="611A0E68" w:rsidR="00D8122C" w:rsidRPr="007E08C7" w:rsidRDefault="00D8122C" w:rsidP="007E08C7">
            <w:pPr>
              <w:rPr>
                <w:szCs w:val="18"/>
              </w:rPr>
            </w:pPr>
            <w:r w:rsidRPr="00E10075">
              <w:rPr>
                <w:b/>
                <w:bCs/>
                <w:i/>
                <w:iCs/>
                <w:szCs w:val="18"/>
              </w:rPr>
              <w:t>As this is a self-directed activity, your workbook and audit activities will not be assessed or used against you in any way.</w:t>
            </w:r>
          </w:p>
        </w:tc>
      </w:tr>
    </w:tbl>
    <w:p w14:paraId="32BF425F" w14:textId="77777777" w:rsidR="00501526" w:rsidRDefault="00501526" w:rsidP="00501526"/>
    <w:p w14:paraId="7D028D2E" w14:textId="77777777" w:rsidR="00DB36C5" w:rsidRPr="00661249" w:rsidRDefault="00DB36C5" w:rsidP="00DB36C5">
      <w:pPr>
        <w:pStyle w:val="Heading3"/>
        <w:rPr>
          <w:lang w:val="en-NZ" w:eastAsia="en-GB"/>
        </w:rPr>
      </w:pPr>
      <w:r w:rsidRPr="00661249">
        <w:t>Case study 3:</w:t>
      </w:r>
      <w:r w:rsidRPr="00661249">
        <w:rPr>
          <w:lang w:val="en-NZ" w:eastAsia="en-GB"/>
        </w:rPr>
        <w:t> Intermittent charging – Charging a fee for a patient’s first consultation per year</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E9E5CE" w:themeFill="background2"/>
        <w:tblLook w:val="04A0" w:firstRow="1" w:lastRow="0" w:firstColumn="1" w:lastColumn="0" w:noHBand="0" w:noVBand="1"/>
      </w:tblPr>
      <w:tblGrid>
        <w:gridCol w:w="9622"/>
      </w:tblGrid>
      <w:tr w:rsidR="00DB36C5" w14:paraId="79E1B7FD" w14:textId="77777777" w:rsidTr="001D4AB3">
        <w:tc>
          <w:tcPr>
            <w:tcW w:w="9628" w:type="dxa"/>
            <w:shd w:val="clear" w:color="auto" w:fill="E9E5CE" w:themeFill="background2"/>
          </w:tcPr>
          <w:p w14:paraId="59F6E1B9" w14:textId="77777777" w:rsidR="005F665A" w:rsidRDefault="005F665A" w:rsidP="001D4AB3">
            <w:r w:rsidRPr="005F665A">
              <w:t xml:space="preserve">Dr Jones is a practice owner who identifies that a certain number of his patients can afford to contribute to the costs of their healthcare (ie those who aren’t on any form of social support). He decides to charge $85 for the first consultation with these patients per financial year and bulk bill all subsequent consultations. This means a gap of $41.10 for patients who are privately billed. </w:t>
            </w:r>
          </w:p>
          <w:p w14:paraId="46944259" w14:textId="77777777" w:rsidR="005F665A" w:rsidRDefault="005F665A" w:rsidP="001D4AB3">
            <w:r w:rsidRPr="005F665A">
              <w:t>This allows Dr Jones to accrue enough income to cover expenses, while continuing to provide access to affordable care for patients who cannot afford practice fees.</w:t>
            </w:r>
          </w:p>
          <w:p w14:paraId="2224A2B4" w14:textId="6F3E5D75" w:rsidR="00DB36C5" w:rsidRDefault="00DB36C5" w:rsidP="001D4AB3">
            <w:r>
              <w:t>This means that Dr Jones’ billings will increase as follows: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41"/>
              <w:gridCol w:w="2946"/>
              <w:gridCol w:w="3309"/>
            </w:tblGrid>
            <w:tr w:rsidR="00DB36C5" w14:paraId="67588153" w14:textId="77777777" w:rsidTr="00CF0420">
              <w:tc>
                <w:tcPr>
                  <w:tcW w:w="3141" w:type="dxa"/>
                </w:tcPr>
                <w:p w14:paraId="72829FD1" w14:textId="77777777" w:rsidR="00DB36C5" w:rsidRPr="000958C8" w:rsidRDefault="00DB36C5" w:rsidP="001D4AB3">
                  <w:pPr>
                    <w:spacing w:before="120" w:line="240" w:lineRule="auto"/>
                    <w:rPr>
                      <w:b/>
                      <w:bCs/>
                      <w:color w:val="2E2E2E"/>
                      <w:szCs w:val="18"/>
                    </w:rPr>
                  </w:pPr>
                  <w:r w:rsidRPr="000958C8">
                    <w:rPr>
                      <w:b/>
                      <w:bCs/>
                      <w:color w:val="2E2E2E"/>
                      <w:szCs w:val="18"/>
                    </w:rPr>
                    <w:t xml:space="preserve">Scenario </w:t>
                  </w:r>
                </w:p>
              </w:tc>
              <w:tc>
                <w:tcPr>
                  <w:tcW w:w="2946" w:type="dxa"/>
                </w:tcPr>
                <w:p w14:paraId="1839F942" w14:textId="77777777" w:rsidR="00DB36C5" w:rsidRPr="000958C8" w:rsidRDefault="00DB36C5" w:rsidP="001D4AB3">
                  <w:pPr>
                    <w:spacing w:before="120" w:line="240" w:lineRule="auto"/>
                    <w:rPr>
                      <w:b/>
                      <w:bCs/>
                      <w:color w:val="2E2E2E"/>
                      <w:szCs w:val="18"/>
                    </w:rPr>
                  </w:pPr>
                  <w:r w:rsidRPr="000958C8">
                    <w:rPr>
                      <w:b/>
                      <w:bCs/>
                      <w:color w:val="2E2E2E"/>
                      <w:szCs w:val="18"/>
                    </w:rPr>
                    <w:t xml:space="preserve">Before </w:t>
                  </w:r>
                </w:p>
              </w:tc>
              <w:tc>
                <w:tcPr>
                  <w:tcW w:w="3309" w:type="dxa"/>
                </w:tcPr>
                <w:p w14:paraId="031C14D9" w14:textId="77777777" w:rsidR="00DB36C5" w:rsidRPr="000958C8" w:rsidRDefault="00DB36C5" w:rsidP="001D4AB3">
                  <w:pPr>
                    <w:spacing w:before="120" w:line="240" w:lineRule="auto"/>
                    <w:rPr>
                      <w:b/>
                      <w:bCs/>
                      <w:color w:val="2E2E2E"/>
                      <w:szCs w:val="18"/>
                    </w:rPr>
                  </w:pPr>
                  <w:r w:rsidRPr="000958C8">
                    <w:rPr>
                      <w:b/>
                      <w:bCs/>
                      <w:color w:val="2E2E2E"/>
                      <w:szCs w:val="18"/>
                    </w:rPr>
                    <w:t>After</w:t>
                  </w:r>
                </w:p>
              </w:tc>
            </w:tr>
            <w:tr w:rsidR="00CF0420" w14:paraId="2D7EEE80" w14:textId="77777777" w:rsidTr="00CF0420">
              <w:tc>
                <w:tcPr>
                  <w:tcW w:w="3141" w:type="dxa"/>
                </w:tcPr>
                <w:p w14:paraId="49664BB5" w14:textId="77777777" w:rsidR="00CF0420" w:rsidRDefault="00CF0420" w:rsidP="00CF0420">
                  <w:r>
                    <w:rPr>
                      <w:color w:val="2E2E2E"/>
                      <w:szCs w:val="18"/>
                    </w:rPr>
                    <w:t>Patient who attends two consultations</w:t>
                  </w:r>
                </w:p>
              </w:tc>
              <w:tc>
                <w:tcPr>
                  <w:tcW w:w="2946" w:type="dxa"/>
                </w:tcPr>
                <w:p w14:paraId="74734793" w14:textId="638C0BEA" w:rsidR="00CF0420" w:rsidRDefault="00CF0420" w:rsidP="00CF0420">
                  <w:r w:rsidRPr="11222125">
                    <w:rPr>
                      <w:color w:val="2E2E2E"/>
                    </w:rPr>
                    <w:t>$</w:t>
                  </w:r>
                  <w:r>
                    <w:rPr>
                      <w:color w:val="2E2E2E"/>
                    </w:rPr>
                    <w:t>87.80</w:t>
                  </w:r>
                </w:p>
              </w:tc>
              <w:tc>
                <w:tcPr>
                  <w:tcW w:w="3309" w:type="dxa"/>
                </w:tcPr>
                <w:p w14:paraId="058DD708" w14:textId="79741F40" w:rsidR="00CF0420" w:rsidRDefault="00CF0420" w:rsidP="00CF0420">
                  <w:r w:rsidRPr="11222125">
                    <w:rPr>
                      <w:color w:val="2E2E2E"/>
                    </w:rPr>
                    <w:t>$</w:t>
                  </w:r>
                  <w:r>
                    <w:rPr>
                      <w:color w:val="2E2E2E"/>
                    </w:rPr>
                    <w:t>128.90</w:t>
                  </w:r>
                  <w:r w:rsidRPr="11222125">
                    <w:rPr>
                      <w:color w:val="2E2E2E"/>
                    </w:rPr>
                    <w:t xml:space="preserve"> </w:t>
                  </w:r>
                </w:p>
              </w:tc>
            </w:tr>
            <w:tr w:rsidR="00CF0420" w14:paraId="6581BC96" w14:textId="77777777" w:rsidTr="00CF0420">
              <w:tc>
                <w:tcPr>
                  <w:tcW w:w="3141" w:type="dxa"/>
                </w:tcPr>
                <w:p w14:paraId="79907EDC" w14:textId="77777777" w:rsidR="00CF0420" w:rsidRDefault="00CF0420" w:rsidP="00CF0420">
                  <w:r>
                    <w:rPr>
                      <w:color w:val="2E2E2E"/>
                      <w:szCs w:val="18"/>
                    </w:rPr>
                    <w:t>Patient who attends five consultations</w:t>
                  </w:r>
                </w:p>
              </w:tc>
              <w:tc>
                <w:tcPr>
                  <w:tcW w:w="2946" w:type="dxa"/>
                </w:tcPr>
                <w:p w14:paraId="375FC05F" w14:textId="6191CF40" w:rsidR="00CF0420" w:rsidRDefault="00CF0420" w:rsidP="00CF0420">
                  <w:r w:rsidRPr="11222125">
                    <w:rPr>
                      <w:color w:val="2E2E2E"/>
                    </w:rPr>
                    <w:t>$</w:t>
                  </w:r>
                  <w:r>
                    <w:rPr>
                      <w:color w:val="2E2E2E"/>
                    </w:rPr>
                    <w:t>219.50</w:t>
                  </w:r>
                  <w:r w:rsidRPr="11222125">
                    <w:rPr>
                      <w:color w:val="2E2E2E"/>
                    </w:rPr>
                    <w:t xml:space="preserve"> </w:t>
                  </w:r>
                </w:p>
              </w:tc>
              <w:tc>
                <w:tcPr>
                  <w:tcW w:w="3309" w:type="dxa"/>
                </w:tcPr>
                <w:p w14:paraId="6F63DF7D" w14:textId="01BE8911" w:rsidR="00CF0420" w:rsidRDefault="00CF0420" w:rsidP="00CF0420">
                  <w:pPr>
                    <w:rPr>
                      <w:color w:val="2E2E2E"/>
                    </w:rPr>
                  </w:pPr>
                  <w:r w:rsidRPr="11222125">
                    <w:rPr>
                      <w:color w:val="2E2E2E"/>
                    </w:rPr>
                    <w:t>$</w:t>
                  </w:r>
                  <w:r>
                    <w:rPr>
                      <w:color w:val="2E2E2E"/>
                    </w:rPr>
                    <w:t>260.60</w:t>
                  </w:r>
                </w:p>
              </w:tc>
            </w:tr>
            <w:tr w:rsidR="00CF0420" w14:paraId="5A1B60FC" w14:textId="77777777" w:rsidTr="00CF0420">
              <w:tc>
                <w:tcPr>
                  <w:tcW w:w="3141" w:type="dxa"/>
                </w:tcPr>
                <w:p w14:paraId="3D2CC233" w14:textId="77777777" w:rsidR="00CF0420" w:rsidRDefault="00CF0420" w:rsidP="00CF0420">
                  <w:r>
                    <w:rPr>
                      <w:color w:val="2E2E2E"/>
                      <w:szCs w:val="18"/>
                    </w:rPr>
                    <w:t>Patient who attends 10 consultations</w:t>
                  </w:r>
                </w:p>
              </w:tc>
              <w:tc>
                <w:tcPr>
                  <w:tcW w:w="2946" w:type="dxa"/>
                </w:tcPr>
                <w:p w14:paraId="7922F418" w14:textId="650A16DE" w:rsidR="00CF0420" w:rsidRDefault="00CF0420" w:rsidP="00CF0420">
                  <w:r w:rsidRPr="11222125">
                    <w:rPr>
                      <w:color w:val="2E2E2E"/>
                    </w:rPr>
                    <w:t>$</w:t>
                  </w:r>
                  <w:r>
                    <w:rPr>
                      <w:color w:val="2E2E2E"/>
                    </w:rPr>
                    <w:t>439.90</w:t>
                  </w:r>
                  <w:r w:rsidRPr="11222125">
                    <w:rPr>
                      <w:color w:val="2E2E2E"/>
                    </w:rPr>
                    <w:t xml:space="preserve"> </w:t>
                  </w:r>
                </w:p>
              </w:tc>
              <w:tc>
                <w:tcPr>
                  <w:tcW w:w="3309" w:type="dxa"/>
                </w:tcPr>
                <w:p w14:paraId="4CFB2731" w14:textId="76073279" w:rsidR="00CF0420" w:rsidRDefault="00CF0420" w:rsidP="00CF0420">
                  <w:r w:rsidRPr="11222125">
                    <w:rPr>
                      <w:color w:val="2E2E2E"/>
                    </w:rPr>
                    <w:t>$</w:t>
                  </w:r>
                  <w:r>
                    <w:rPr>
                      <w:color w:val="2E2E2E"/>
                    </w:rPr>
                    <w:t>480.10</w:t>
                  </w:r>
                </w:p>
              </w:tc>
            </w:tr>
          </w:tbl>
          <w:p w14:paraId="676489BF" w14:textId="77777777" w:rsidR="00DB36C5" w:rsidRDefault="00DB36C5" w:rsidP="001D4AB3"/>
          <w:p w14:paraId="17055B4D" w14:textId="77777777" w:rsidR="00DB36C5" w:rsidRDefault="00DB36C5" w:rsidP="001D4AB3">
            <w:pPr>
              <w:rPr>
                <w:szCs w:val="18"/>
              </w:rPr>
            </w:pPr>
            <w:r>
              <w:rPr>
                <w:color w:val="2E2E2E"/>
                <w:szCs w:val="18"/>
              </w:rPr>
              <w:t xml:space="preserve">This concept can work in various ways. After the initial privately billed consultation, subsequent billing is at the GP’s discretion. For example, the GP may continue to privately bill patients who don’t qualify for the MBS bulk billing incentive and revert to bulk billing for those who are eligible. </w:t>
            </w:r>
          </w:p>
          <w:p w14:paraId="438C5690" w14:textId="1B735D0E" w:rsidR="00DB36C5" w:rsidRPr="006855EC" w:rsidRDefault="00DB36C5" w:rsidP="001D4AB3">
            <w:pPr>
              <w:pStyle w:val="Default"/>
              <w:spacing w:after="120"/>
              <w:rPr>
                <w:sz w:val="12"/>
                <w:szCs w:val="12"/>
              </w:rPr>
            </w:pPr>
            <w:r w:rsidRPr="30CF35F0">
              <w:rPr>
                <w:color w:val="2E2E2E"/>
                <w:sz w:val="12"/>
                <w:szCs w:val="12"/>
              </w:rPr>
              <w:t>*Scenario based on MBS item 23 (Level B attendance lasting less than 20 minutes), which has a rebate of $4</w:t>
            </w:r>
            <w:r w:rsidR="005F665A">
              <w:rPr>
                <w:color w:val="2E2E2E"/>
                <w:sz w:val="12"/>
                <w:szCs w:val="12"/>
              </w:rPr>
              <w:t>3.90</w:t>
            </w:r>
          </w:p>
        </w:tc>
      </w:tr>
    </w:tbl>
    <w:p w14:paraId="635C5168" w14:textId="77777777" w:rsidR="00DB36C5" w:rsidRDefault="00DB36C5" w:rsidP="00DB36C5">
      <w:pPr>
        <w:rPr>
          <w:lang w:val="en-US" w:eastAsia="en-GB"/>
        </w:rPr>
      </w:pPr>
    </w:p>
    <w:p w14:paraId="67ABDD38" w14:textId="77777777" w:rsidR="00DB36C5" w:rsidRDefault="00DB36C5" w:rsidP="00DB36C5">
      <w:pPr>
        <w:rPr>
          <w:b/>
          <w:bCs/>
          <w:lang w:val="en-US" w:eastAsia="en-GB"/>
        </w:rPr>
      </w:pPr>
      <w:r>
        <w:rPr>
          <w:b/>
          <w:bCs/>
          <w:lang w:val="en-US" w:eastAsia="en-GB"/>
        </w:rPr>
        <w:t xml:space="preserve">Use the </w:t>
      </w:r>
      <w:hyperlink r:id="rId14" w:history="1">
        <w:r w:rsidRPr="00DB36C5">
          <w:rPr>
            <w:rStyle w:val="Hyperlink"/>
            <w:b/>
            <w:bCs/>
            <w:color w:val="008074" w:themeColor="accent3"/>
            <w:lang w:val="en-US" w:eastAsia="en-GB"/>
          </w:rPr>
          <w:t>RACGP billing calculator</w:t>
        </w:r>
      </w:hyperlink>
      <w:r>
        <w:rPr>
          <w:b/>
          <w:bCs/>
          <w:lang w:val="en-US" w:eastAsia="en-GB"/>
        </w:rPr>
        <w:t xml:space="preserve"> and write your reflections below</w:t>
      </w:r>
    </w:p>
    <w:p w14:paraId="47529066" w14:textId="77777777" w:rsidR="00DB36C5" w:rsidRDefault="00DB36C5" w:rsidP="00DB36C5">
      <w:pPr>
        <w:pStyle w:val="RACGPBody"/>
        <w:rPr>
          <w:lang w:val="en-NZ" w:eastAsia="en-GB"/>
        </w:rPr>
      </w:pPr>
      <w:r w:rsidRPr="006855EC">
        <w:rPr>
          <w:b/>
          <w:bCs/>
          <w:lang w:val="en-NZ" w:eastAsia="en-GB"/>
        </w:rPr>
        <w:t>Question:</w:t>
      </w:r>
      <w:r>
        <w:rPr>
          <w:lang w:val="en-NZ" w:eastAsia="en-GB"/>
        </w:rPr>
        <w:t xml:space="preserve"> How would introducing a fee (or increasing the fee if you already privately bill) </w:t>
      </w:r>
      <w:r w:rsidRPr="03B5DB2E">
        <w:rPr>
          <w:lang w:val="en-NZ" w:eastAsia="en-GB"/>
        </w:rPr>
        <w:t xml:space="preserve">for the first consultation of the year </w:t>
      </w:r>
      <w:r>
        <w:rPr>
          <w:lang w:val="en-NZ" w:eastAsia="en-GB"/>
        </w:rPr>
        <w:t>impact your ability to run a viable business?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DB36C5" w14:paraId="5A74DACD" w14:textId="77777777" w:rsidTr="001D4AB3">
        <w:tc>
          <w:tcPr>
            <w:tcW w:w="9628" w:type="dxa"/>
          </w:tcPr>
          <w:p w14:paraId="457A77D7" w14:textId="77777777" w:rsidR="00DB36C5" w:rsidRDefault="00DB36C5" w:rsidP="001D4AB3">
            <w:pPr>
              <w:pStyle w:val="RACGPBody"/>
              <w:rPr>
                <w:lang w:val="en-NZ" w:eastAsia="en-GB"/>
              </w:rPr>
            </w:pPr>
          </w:p>
          <w:p w14:paraId="06544455" w14:textId="77777777" w:rsidR="00DB36C5" w:rsidRDefault="00DB36C5" w:rsidP="001D4AB3">
            <w:pPr>
              <w:pStyle w:val="RACGPBody"/>
              <w:rPr>
                <w:lang w:val="en-NZ" w:eastAsia="en-GB"/>
              </w:rPr>
            </w:pPr>
          </w:p>
          <w:p w14:paraId="69CE2075" w14:textId="77777777" w:rsidR="00DB36C5" w:rsidRDefault="00DB36C5" w:rsidP="001D4AB3">
            <w:pPr>
              <w:pStyle w:val="RACGPBody"/>
              <w:rPr>
                <w:lang w:val="en-NZ" w:eastAsia="en-GB"/>
              </w:rPr>
            </w:pPr>
          </w:p>
          <w:p w14:paraId="23C00F75" w14:textId="77777777" w:rsidR="00DB36C5" w:rsidRDefault="00DB36C5" w:rsidP="001D4AB3">
            <w:pPr>
              <w:pStyle w:val="RACGPBody"/>
              <w:rPr>
                <w:lang w:val="en-NZ" w:eastAsia="en-GB"/>
              </w:rPr>
            </w:pPr>
          </w:p>
          <w:p w14:paraId="031BBED6" w14:textId="77777777" w:rsidR="00DB36C5" w:rsidRDefault="00DB36C5" w:rsidP="001D4AB3">
            <w:pPr>
              <w:pStyle w:val="RACGPBody"/>
              <w:rPr>
                <w:lang w:val="en-NZ" w:eastAsia="en-GB"/>
              </w:rPr>
            </w:pPr>
          </w:p>
        </w:tc>
      </w:tr>
    </w:tbl>
    <w:p w14:paraId="29CBE305" w14:textId="77777777" w:rsidR="00D56C5A" w:rsidRDefault="00D56C5A" w:rsidP="00DB36C5">
      <w:pPr>
        <w:pStyle w:val="Heading3"/>
      </w:pPr>
    </w:p>
    <w:sectPr w:rsidR="00D56C5A" w:rsidSect="0084166D">
      <w:headerReference w:type="even" r:id="rId15"/>
      <w:headerReference w:type="default" r:id="rId16"/>
      <w:footerReference w:type="even" r:id="rId17"/>
      <w:footerReference w:type="default" r:id="rId18"/>
      <w:headerReference w:type="first" r:id="rId19"/>
      <w:footerReference w:type="first" r:id="rId20"/>
      <w:pgSz w:w="11900" w:h="16840"/>
      <w:pgMar w:top="1701" w:right="1134" w:bottom="2268" w:left="1134" w:header="533" w:footer="153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54919" w14:textId="77777777" w:rsidR="00972665" w:rsidRDefault="00972665">
      <w:pPr>
        <w:spacing w:after="0" w:line="240" w:lineRule="auto"/>
      </w:pPr>
      <w:r>
        <w:separator/>
      </w:r>
    </w:p>
  </w:endnote>
  <w:endnote w:type="continuationSeparator" w:id="0">
    <w:p w14:paraId="524530B4" w14:textId="77777777" w:rsidR="00972665" w:rsidRDefault="0097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HelveticaNeueLT Std">
    <w:altName w:val="Arial"/>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952F" w14:textId="77777777" w:rsidR="0084166D" w:rsidRPr="00BB5511" w:rsidRDefault="0084166D" w:rsidP="00D11231">
    <w:pPr>
      <w:pStyle w:val="Header"/>
      <w:jc w:val="center"/>
      <w:rPr>
        <w:rStyle w:val="PageNumber"/>
      </w:rPr>
    </w:pPr>
    <w:r>
      <w:rPr>
        <w:noProof/>
      </w:rPr>
      <mc:AlternateContent>
        <mc:Choice Requires="wps">
          <w:drawing>
            <wp:anchor distT="0" distB="0" distL="114300" distR="114300" simplePos="0" relativeHeight="251659264" behindDoc="0" locked="0" layoutInCell="1" allowOverlap="1" wp14:anchorId="3451ED51" wp14:editId="460A034F">
              <wp:simplePos x="0" y="0"/>
              <wp:positionH relativeFrom="page">
                <wp:align>center</wp:align>
              </wp:positionH>
              <wp:positionV relativeFrom="paragraph">
                <wp:posOffset>-87176</wp:posOffset>
              </wp:positionV>
              <wp:extent cx="216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4DC8CE" id="Straight Connector 2" o:spid="_x0000_s1026" style="position:absolute;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p w14:paraId="0F0BFCB3" w14:textId="77777777" w:rsidR="0084166D" w:rsidRDefault="0084166D" w:rsidP="00D1123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B78E" w14:textId="77777777" w:rsidR="0084166D" w:rsidRDefault="0084166D" w:rsidP="0084166D">
    <w:pPr>
      <w:pStyle w:val="BodyText"/>
      <w:ind w:right="-2"/>
      <w:jc w:val="right"/>
    </w:pPr>
  </w:p>
  <w:p w14:paraId="14F6A3A0" w14:textId="77777777" w:rsidR="0084166D" w:rsidRDefault="0084166D" w:rsidP="0084166D">
    <w:pPr>
      <w:pStyle w:val="BodyText"/>
      <w:ind w:right="-2"/>
      <w:jc w:val="right"/>
    </w:pPr>
  </w:p>
  <w:p w14:paraId="2533C77E" w14:textId="15231048" w:rsidR="0084166D" w:rsidRPr="00D94BE1" w:rsidRDefault="0084166D" w:rsidP="004E795C">
    <w:pPr>
      <w:pStyle w:val="BodyText"/>
      <w:ind w:right="-2"/>
      <w:jc w:val="right"/>
    </w:pPr>
    <w:r>
      <w:t>Document published October 2024 | Advocacy Policy &amp; Research</w:t>
    </w:r>
  </w:p>
  <w:p w14:paraId="0664130D" w14:textId="77777777" w:rsidR="0084166D" w:rsidRDefault="0084166D" w:rsidP="00D11231">
    <w:pPr>
      <w:pStyle w:val="Header"/>
      <w:jc w:val="center"/>
    </w:pPr>
    <w:r>
      <w:rPr>
        <w:noProof/>
      </w:rPr>
      <mc:AlternateContent>
        <mc:Choice Requires="wps">
          <w:drawing>
            <wp:anchor distT="0" distB="0" distL="114300" distR="114300" simplePos="0" relativeHeight="251662336" behindDoc="0" locked="0" layoutInCell="1" allowOverlap="1" wp14:anchorId="092DC119" wp14:editId="3B5595ED">
              <wp:simplePos x="0" y="0"/>
              <wp:positionH relativeFrom="page">
                <wp:align>center</wp:align>
              </wp:positionH>
              <wp:positionV relativeFrom="paragraph">
                <wp:posOffset>-87176</wp:posOffset>
              </wp:positionV>
              <wp:extent cx="2160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B9ED14" id="Straight Connector 4" o:spid="_x0000_s1026" style="position:absolute;z-index:251662336;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27BD" w14:textId="1604F7DA" w:rsidR="003A417D" w:rsidRPr="00D94BE1" w:rsidRDefault="003A417D" w:rsidP="003A417D">
    <w:pPr>
      <w:pStyle w:val="BodyText"/>
      <w:ind w:right="-2"/>
      <w:jc w:val="right"/>
    </w:pPr>
    <w:r>
      <w:t xml:space="preserve">Document published </w:t>
    </w:r>
    <w:r w:rsidR="000F568D">
      <w:t>July 2025</w:t>
    </w:r>
    <w:r>
      <w:t xml:space="preserve"> | Advocacy Policy &amp; Research</w:t>
    </w:r>
  </w:p>
  <w:p w14:paraId="50676919" w14:textId="77777777" w:rsidR="0084166D" w:rsidRPr="00D11231" w:rsidRDefault="0084166D" w:rsidP="00D11231">
    <w:pPr>
      <w:pStyle w:val="Header"/>
      <w:jc w:val="center"/>
    </w:pPr>
    <w:r>
      <w:rPr>
        <w:noProof/>
      </w:rPr>
      <mc:AlternateContent>
        <mc:Choice Requires="wps">
          <w:drawing>
            <wp:anchor distT="0" distB="0" distL="114300" distR="114300" simplePos="0" relativeHeight="251653120" behindDoc="0" locked="0" layoutInCell="1" allowOverlap="1" wp14:anchorId="763462A0" wp14:editId="52B88DCF">
              <wp:simplePos x="0" y="0"/>
              <wp:positionH relativeFrom="page">
                <wp:align>center</wp:align>
              </wp:positionH>
              <wp:positionV relativeFrom="paragraph">
                <wp:posOffset>-87176</wp:posOffset>
              </wp:positionV>
              <wp:extent cx="216000" cy="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7FAB69" id="Straight Connector 8" o:spid="_x0000_s1026" style="position:absolute;z-index:25165312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2</w:t>
    </w:r>
    <w:r w:rsidRPr="0079551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5638B" w14:textId="77777777" w:rsidR="00972665" w:rsidRDefault="00972665">
      <w:pPr>
        <w:spacing w:after="0" w:line="240" w:lineRule="auto"/>
      </w:pPr>
      <w:r>
        <w:separator/>
      </w:r>
    </w:p>
  </w:footnote>
  <w:footnote w:type="continuationSeparator" w:id="0">
    <w:p w14:paraId="7500CE51" w14:textId="77777777" w:rsidR="00972665" w:rsidRDefault="0097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9EE6" w14:textId="77777777" w:rsidR="0084166D" w:rsidRDefault="0084166D" w:rsidP="00D11231">
    <w:pPr>
      <w:pStyle w:val="Header"/>
    </w:pPr>
    <w:r>
      <w:rPr>
        <w:noProof/>
      </w:rPr>
      <mc:AlternateContent>
        <mc:Choice Requires="wps">
          <w:drawing>
            <wp:anchor distT="0" distB="0" distL="114300" distR="114300" simplePos="0" relativeHeight="251657216" behindDoc="0" locked="0" layoutInCell="1" allowOverlap="1" wp14:anchorId="3A72E975" wp14:editId="6573120E">
              <wp:simplePos x="0" y="0"/>
              <wp:positionH relativeFrom="page">
                <wp:align>center</wp:align>
              </wp:positionH>
              <wp:positionV relativeFrom="page">
                <wp:posOffset>337185</wp:posOffset>
              </wp:positionV>
              <wp:extent cx="2160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F13A71" id="Straight Connector 7" o:spid="_x0000_s1026" style="position:absolute;z-index:251657216;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4327AF27" w14:textId="77777777" w:rsidR="0084166D" w:rsidRPr="00BB5511" w:rsidRDefault="0084166D" w:rsidP="00D11231">
    <w:pPr>
      <w:pStyle w:val="Header"/>
      <w:jc w:val="center"/>
    </w:pPr>
    <w:r w:rsidRPr="00BB5511">
      <w:t>Insert title here</w:t>
    </w:r>
  </w:p>
  <w:p w14:paraId="64773D96" w14:textId="77777777" w:rsidR="0084166D" w:rsidRPr="00D11231" w:rsidRDefault="0084166D" w:rsidP="00D11231">
    <w:pPr>
      <w:pStyle w:val="Header"/>
      <w:jc w:val="center"/>
    </w:pPr>
    <w:r w:rsidRPr="00BB5511">
      <w:t>Insert subtitle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4245" w14:textId="77777777" w:rsidR="0084166D" w:rsidRDefault="0084166D" w:rsidP="00D11231">
    <w:pPr>
      <w:pStyle w:val="Header"/>
    </w:pPr>
    <w:r>
      <w:rPr>
        <w:noProof/>
      </w:rPr>
      <mc:AlternateContent>
        <mc:Choice Requires="wps">
          <w:drawing>
            <wp:anchor distT="0" distB="0" distL="114300" distR="114300" simplePos="0" relativeHeight="251661312" behindDoc="0" locked="0" layoutInCell="1" allowOverlap="1" wp14:anchorId="0A889A27" wp14:editId="358E6F55">
              <wp:simplePos x="0" y="0"/>
              <wp:positionH relativeFrom="page">
                <wp:align>center</wp:align>
              </wp:positionH>
              <wp:positionV relativeFrom="page">
                <wp:posOffset>337185</wp:posOffset>
              </wp:positionV>
              <wp:extent cx="216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2EE5AE" id="Straight Connector 3" o:spid="_x0000_s1026" style="position:absolute;z-index:251661312;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2C8E2091" w14:textId="7775269A" w:rsidR="0084166D" w:rsidRPr="00BB5511" w:rsidRDefault="0084166D" w:rsidP="00D11231">
    <w:pPr>
      <w:pStyle w:val="Header"/>
      <w:jc w:val="center"/>
    </w:pPr>
    <w:r>
      <w:t>Optimising your billing strategy</w:t>
    </w:r>
  </w:p>
  <w:p w14:paraId="638429CC" w14:textId="1AA42FC9" w:rsidR="0084166D" w:rsidRPr="00D11231" w:rsidRDefault="0084166D" w:rsidP="00D11231">
    <w:pPr>
      <w:pStyle w:val="Header"/>
      <w:jc w:val="center"/>
    </w:pPr>
    <w:r>
      <w:t xml:space="preserve">Activity </w:t>
    </w:r>
    <w:r w:rsidR="00107352">
      <w:t>3</w:t>
    </w:r>
  </w:p>
  <w:p w14:paraId="6044701E" w14:textId="77777777" w:rsidR="0084166D" w:rsidRPr="00D11231" w:rsidRDefault="0084166D" w:rsidP="00D11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CE5A" w14:textId="77777777" w:rsidR="0084166D" w:rsidRDefault="0084166D">
    <w:pPr>
      <w:pStyle w:val="Header"/>
    </w:pPr>
    <w:r>
      <w:rPr>
        <w:noProof/>
      </w:rPr>
      <w:drawing>
        <wp:anchor distT="0" distB="0" distL="114300" distR="114300" simplePos="0" relativeHeight="251655168" behindDoc="1" locked="0" layoutInCell="1" allowOverlap="1" wp14:anchorId="5D6587A0" wp14:editId="1B10FFDC">
          <wp:simplePos x="0" y="0"/>
          <wp:positionH relativeFrom="page">
            <wp:align>center</wp:align>
          </wp:positionH>
          <wp:positionV relativeFrom="page">
            <wp:align>top</wp:align>
          </wp:positionV>
          <wp:extent cx="7588800" cy="10728000"/>
          <wp:effectExtent l="0" t="0" r="6350" b="3810"/>
          <wp:wrapNone/>
          <wp:docPr id="781415782" name="Picture 78141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88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91B4B"/>
    <w:multiLevelType w:val="hybridMultilevel"/>
    <w:tmpl w:val="2F74C090"/>
    <w:lvl w:ilvl="0" w:tplc="019E7C54">
      <w:start w:val="1"/>
      <w:numFmt w:val="bullet"/>
      <w:pStyle w:val="Listparagraphlevel2"/>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 w15:restartNumberingAfterBreak="0">
    <w:nsid w:val="129A63B0"/>
    <w:multiLevelType w:val="hybridMultilevel"/>
    <w:tmpl w:val="3BF0D4D0"/>
    <w:lvl w:ilvl="0" w:tplc="C0F8752C">
      <w:start w:val="1"/>
      <w:numFmt w:val="lowerLetter"/>
      <w:pStyle w:val="Alphalist"/>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8214F00"/>
    <w:multiLevelType w:val="hybridMultilevel"/>
    <w:tmpl w:val="FB709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383BB8"/>
    <w:multiLevelType w:val="hybridMultilevel"/>
    <w:tmpl w:val="DF3A66E8"/>
    <w:lvl w:ilvl="0" w:tplc="29561B8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51A62"/>
    <w:multiLevelType w:val="multilevel"/>
    <w:tmpl w:val="0809001F"/>
    <w:styleLink w:val="111111"/>
    <w:lvl w:ilvl="0">
      <w:start w:val="1"/>
      <w:numFmt w:val="decimal"/>
      <w:pStyle w:val="Header0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49364C"/>
    <w:multiLevelType w:val="hybridMultilevel"/>
    <w:tmpl w:val="D4F414C0"/>
    <w:lvl w:ilvl="0" w:tplc="AB9E5468">
      <w:numFmt w:val="bullet"/>
      <w:pStyle w:val="ListParagraph"/>
      <w:lvlText w:val="•"/>
      <w:lvlJc w:val="left"/>
      <w:pPr>
        <w:ind w:left="1927" w:hanging="227"/>
      </w:pPr>
      <w:rPr>
        <w:rFonts w:ascii="HelveticaNeueLT Std Lt" w:hAnsi="HelveticaNeueLT Std Lt" w:cs="HelveticaNeueLT Std Lt" w:hint="default"/>
        <w:color w:val="auto"/>
        <w:spacing w:val="-14"/>
        <w:w w:val="100"/>
        <w:sz w:val="18"/>
        <w:szCs w:val="18"/>
        <w:lang w:val="en-US" w:eastAsia="en-US" w:bidi="en-US"/>
      </w:rPr>
    </w:lvl>
    <w:lvl w:ilvl="1" w:tplc="49CA456E">
      <w:start w:val="1"/>
      <w:numFmt w:val="bullet"/>
      <w:lvlText w:val=""/>
      <w:lvlJc w:val="left"/>
      <w:pPr>
        <w:ind w:left="2918" w:hanging="227"/>
      </w:pPr>
      <w:rPr>
        <w:rFonts w:ascii="Symbol" w:hAnsi="Symbol" w:hint="default"/>
        <w:lang w:val="en-US" w:eastAsia="en-US" w:bidi="en-US"/>
      </w:rPr>
    </w:lvl>
    <w:lvl w:ilvl="2" w:tplc="F2229750">
      <w:numFmt w:val="bullet"/>
      <w:lvlText w:val="•"/>
      <w:lvlJc w:val="left"/>
      <w:pPr>
        <w:ind w:left="3917" w:hanging="227"/>
      </w:pPr>
      <w:rPr>
        <w:rFonts w:hint="default"/>
        <w:lang w:val="en-US" w:eastAsia="en-US" w:bidi="en-US"/>
      </w:rPr>
    </w:lvl>
    <w:lvl w:ilvl="3" w:tplc="5FFA5554">
      <w:numFmt w:val="bullet"/>
      <w:lvlText w:val="•"/>
      <w:lvlJc w:val="left"/>
      <w:pPr>
        <w:ind w:left="4915" w:hanging="227"/>
      </w:pPr>
      <w:rPr>
        <w:rFonts w:hint="default"/>
        <w:lang w:val="en-US" w:eastAsia="en-US" w:bidi="en-US"/>
      </w:rPr>
    </w:lvl>
    <w:lvl w:ilvl="4" w:tplc="CC2C6F2C">
      <w:numFmt w:val="bullet"/>
      <w:lvlText w:val="•"/>
      <w:lvlJc w:val="left"/>
      <w:pPr>
        <w:ind w:left="5914" w:hanging="227"/>
      </w:pPr>
      <w:rPr>
        <w:rFonts w:hint="default"/>
        <w:lang w:val="en-US" w:eastAsia="en-US" w:bidi="en-US"/>
      </w:rPr>
    </w:lvl>
    <w:lvl w:ilvl="5" w:tplc="81144BC4">
      <w:numFmt w:val="bullet"/>
      <w:lvlText w:val="•"/>
      <w:lvlJc w:val="left"/>
      <w:pPr>
        <w:ind w:left="6912" w:hanging="227"/>
      </w:pPr>
      <w:rPr>
        <w:rFonts w:hint="default"/>
        <w:lang w:val="en-US" w:eastAsia="en-US" w:bidi="en-US"/>
      </w:rPr>
    </w:lvl>
    <w:lvl w:ilvl="6" w:tplc="0F28E32E">
      <w:numFmt w:val="bullet"/>
      <w:lvlText w:val="•"/>
      <w:lvlJc w:val="left"/>
      <w:pPr>
        <w:ind w:left="7911" w:hanging="227"/>
      </w:pPr>
      <w:rPr>
        <w:rFonts w:hint="default"/>
        <w:lang w:val="en-US" w:eastAsia="en-US" w:bidi="en-US"/>
      </w:rPr>
    </w:lvl>
    <w:lvl w:ilvl="7" w:tplc="1FC6725C">
      <w:numFmt w:val="bullet"/>
      <w:lvlText w:val="•"/>
      <w:lvlJc w:val="left"/>
      <w:pPr>
        <w:ind w:left="8909" w:hanging="227"/>
      </w:pPr>
      <w:rPr>
        <w:rFonts w:hint="default"/>
        <w:lang w:val="en-US" w:eastAsia="en-US" w:bidi="en-US"/>
      </w:rPr>
    </w:lvl>
    <w:lvl w:ilvl="8" w:tplc="BB0A2196">
      <w:numFmt w:val="bullet"/>
      <w:lvlText w:val="•"/>
      <w:lvlJc w:val="left"/>
      <w:pPr>
        <w:ind w:left="9908" w:hanging="227"/>
      </w:pPr>
      <w:rPr>
        <w:rFonts w:hint="default"/>
        <w:lang w:val="en-US" w:eastAsia="en-US" w:bidi="en-US"/>
      </w:rPr>
    </w:lvl>
  </w:abstractNum>
  <w:abstractNum w:abstractNumId="6" w15:restartNumberingAfterBreak="0">
    <w:nsid w:val="60F567A3"/>
    <w:multiLevelType w:val="multilevel"/>
    <w:tmpl w:val="0809001F"/>
    <w:numStyleLink w:val="111111"/>
  </w:abstractNum>
  <w:num w:numId="1" w16cid:durableId="801309068">
    <w:abstractNumId w:val="3"/>
  </w:num>
  <w:num w:numId="2" w16cid:durableId="1991666255">
    <w:abstractNumId w:val="5"/>
  </w:num>
  <w:num w:numId="3" w16cid:durableId="617184128">
    <w:abstractNumId w:val="1"/>
  </w:num>
  <w:num w:numId="4" w16cid:durableId="466169134">
    <w:abstractNumId w:val="1"/>
    <w:lvlOverride w:ilvl="0">
      <w:startOverride w:val="1"/>
    </w:lvlOverride>
  </w:num>
  <w:num w:numId="5" w16cid:durableId="1240361193">
    <w:abstractNumId w:val="0"/>
  </w:num>
  <w:num w:numId="6" w16cid:durableId="1907497386">
    <w:abstractNumId w:val="4"/>
  </w:num>
  <w:num w:numId="7" w16cid:durableId="1256743217">
    <w:abstractNumId w:val="6"/>
  </w:num>
  <w:num w:numId="8" w16cid:durableId="713699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6D"/>
    <w:rsid w:val="00035F9E"/>
    <w:rsid w:val="00066EAE"/>
    <w:rsid w:val="00081D52"/>
    <w:rsid w:val="00096202"/>
    <w:rsid w:val="000F568D"/>
    <w:rsid w:val="0010678D"/>
    <w:rsid w:val="00107352"/>
    <w:rsid w:val="0025240A"/>
    <w:rsid w:val="003A417D"/>
    <w:rsid w:val="003D3C4E"/>
    <w:rsid w:val="003D79EA"/>
    <w:rsid w:val="004322B5"/>
    <w:rsid w:val="00461164"/>
    <w:rsid w:val="004C7ACD"/>
    <w:rsid w:val="004E795C"/>
    <w:rsid w:val="00501526"/>
    <w:rsid w:val="00574A26"/>
    <w:rsid w:val="005F665A"/>
    <w:rsid w:val="005F7E32"/>
    <w:rsid w:val="0061619C"/>
    <w:rsid w:val="006514CA"/>
    <w:rsid w:val="006E57AF"/>
    <w:rsid w:val="00760A07"/>
    <w:rsid w:val="00777598"/>
    <w:rsid w:val="007E08C7"/>
    <w:rsid w:val="007F04D1"/>
    <w:rsid w:val="0084166D"/>
    <w:rsid w:val="00951EF0"/>
    <w:rsid w:val="009722FE"/>
    <w:rsid w:val="00972665"/>
    <w:rsid w:val="00981C00"/>
    <w:rsid w:val="009F7FE4"/>
    <w:rsid w:val="00A06CD0"/>
    <w:rsid w:val="00A37EA0"/>
    <w:rsid w:val="00A6780D"/>
    <w:rsid w:val="00A75D98"/>
    <w:rsid w:val="00AF6629"/>
    <w:rsid w:val="00B27AC4"/>
    <w:rsid w:val="00B86DA4"/>
    <w:rsid w:val="00B9060A"/>
    <w:rsid w:val="00BD5127"/>
    <w:rsid w:val="00CA3788"/>
    <w:rsid w:val="00CB1A67"/>
    <w:rsid w:val="00CC0358"/>
    <w:rsid w:val="00CF0420"/>
    <w:rsid w:val="00D56C5A"/>
    <w:rsid w:val="00D63E2A"/>
    <w:rsid w:val="00D73B0F"/>
    <w:rsid w:val="00D8122C"/>
    <w:rsid w:val="00D81AD4"/>
    <w:rsid w:val="00DA72CD"/>
    <w:rsid w:val="00DB36C5"/>
    <w:rsid w:val="00EC266F"/>
    <w:rsid w:val="00ED7584"/>
    <w:rsid w:val="00F414A6"/>
    <w:rsid w:val="00FC5A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10A56"/>
  <w15:chartTrackingRefBased/>
  <w15:docId w15:val="{DAA041B0-A0B4-458E-AE27-0A6311EC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88"/>
    <w:pPr>
      <w:spacing w:after="120" w:line="276" w:lineRule="auto"/>
    </w:pPr>
    <w:rPr>
      <w:rFonts w:ascii="Arial" w:eastAsia="Calibri" w:hAnsi="Arial" w:cs="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84166D"/>
    <w:pPr>
      <w:tabs>
        <w:tab w:val="left" w:pos="567"/>
      </w:tabs>
      <w:spacing w:before="300" w:after="100" w:line="240" w:lineRule="auto"/>
      <w:outlineLvl w:val="1"/>
    </w:pPr>
    <w:rPr>
      <w:rFonts w:eastAsiaTheme="minorHAnsi" w:cstheme="minorBidi"/>
      <w:b/>
      <w:bCs/>
      <w:color w:val="008074" w:themeColor="accent3"/>
      <w:sz w:val="24"/>
      <w:szCs w:val="24"/>
    </w:rPr>
  </w:style>
  <w:style w:type="paragraph" w:styleId="Heading3">
    <w:name w:val="heading 3"/>
    <w:basedOn w:val="Normal"/>
    <w:next w:val="Normal"/>
    <w:link w:val="Heading3Char"/>
    <w:uiPriority w:val="9"/>
    <w:unhideWhenUsed/>
    <w:qFormat/>
    <w:rsid w:val="0084166D"/>
    <w:pPr>
      <w:tabs>
        <w:tab w:val="left" w:pos="567"/>
      </w:tabs>
      <w:spacing w:before="200" w:after="100" w:line="240" w:lineRule="auto"/>
      <w:outlineLvl w:val="2"/>
    </w:pPr>
    <w:rPr>
      <w:rFonts w:eastAsiaTheme="minorHAnsi" w:cstheme="minorBidi"/>
      <w:b/>
      <w:color w:val="184D6E" w:themeColor="text1" w:themeTint="E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paragraph" w:styleId="Header">
    <w:name w:val="header"/>
    <w:basedOn w:val="Normal"/>
    <w:link w:val="HeaderChar"/>
    <w:uiPriority w:val="99"/>
    <w:unhideWhenUsed/>
    <w:rsid w:val="00CA37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3788"/>
    <w:rPr>
      <w:rFonts w:ascii="Arial" w:eastAsia="Calibri" w:hAnsi="Arial" w:cs="Arial"/>
      <w:color w:val="2C2C2C" w:themeColor="accent5"/>
      <w:sz w:val="18"/>
      <w:szCs w:val="22"/>
    </w:rPr>
  </w:style>
  <w:style w:type="paragraph" w:customStyle="1" w:styleId="Header02">
    <w:name w:val="Header 02"/>
    <w:basedOn w:val="Normal"/>
    <w:qFormat/>
    <w:rsid w:val="00CA3788"/>
    <w:pPr>
      <w:spacing w:before="360" w:after="200" w:line="259" w:lineRule="auto"/>
      <w:contextualSpacing/>
    </w:pPr>
    <w:rPr>
      <w:rFonts w:eastAsia="HelveticaNeueLT Std"/>
      <w:b/>
      <w:bCs/>
      <w:color w:val="008074" w:themeColor="accent3"/>
      <w:sz w:val="21"/>
      <w:szCs w:val="21"/>
      <w:lang w:val="en-US" w:eastAsia="en-AU" w:bidi="en-US"/>
    </w:rPr>
  </w:style>
  <w:style w:type="paragraph" w:customStyle="1" w:styleId="Header01">
    <w:name w:val="Header 01"/>
    <w:basedOn w:val="ListParagraph"/>
    <w:qFormat/>
    <w:rsid w:val="00CA3788"/>
    <w:pPr>
      <w:numPr>
        <w:numId w:val="7"/>
      </w:numPr>
      <w:tabs>
        <w:tab w:val="num" w:pos="360"/>
      </w:tabs>
      <w:spacing w:before="600" w:after="200"/>
      <w:ind w:left="1927" w:hanging="227"/>
      <w:outlineLvl w:val="1"/>
    </w:pPr>
    <w:rPr>
      <w:rFonts w:asciiTheme="majorHAnsi" w:eastAsia="Calibri" w:hAnsiTheme="majorHAnsi"/>
      <w:color w:val="11364D" w:themeColor="text1"/>
      <w:sz w:val="40"/>
      <w:szCs w:val="28"/>
      <w:lang w:eastAsia="en-AU"/>
    </w:rPr>
  </w:style>
  <w:style w:type="character" w:styleId="PageNumber">
    <w:name w:val="page number"/>
    <w:basedOn w:val="DefaultParagraphFont"/>
    <w:uiPriority w:val="99"/>
    <w:semiHidden/>
    <w:unhideWhenUsed/>
    <w:rsid w:val="00CA3788"/>
  </w:style>
  <w:style w:type="paragraph" w:customStyle="1" w:styleId="Header03">
    <w:name w:val="Header 03"/>
    <w:basedOn w:val="Normal"/>
    <w:next w:val="Header01"/>
    <w:qFormat/>
    <w:rsid w:val="00CA3788"/>
    <w:pPr>
      <w:spacing w:before="360" w:after="200" w:line="259" w:lineRule="auto"/>
    </w:pPr>
    <w:rPr>
      <w:rFonts w:eastAsia="HelveticaNeueLT Std"/>
      <w:b/>
      <w:bCs/>
      <w:color w:val="008074" w:themeColor="accent3"/>
      <w:sz w:val="20"/>
      <w:szCs w:val="20"/>
      <w:lang w:val="en-US" w:eastAsia="en-AU" w:bidi="en-US"/>
    </w:rPr>
  </w:style>
  <w:style w:type="paragraph" w:customStyle="1" w:styleId="NumberedList">
    <w:name w:val="Numbered List"/>
    <w:basedOn w:val="Normal"/>
    <w:qFormat/>
    <w:rsid w:val="00CA3788"/>
    <w:pPr>
      <w:numPr>
        <w:numId w:val="1"/>
      </w:numPr>
      <w:spacing w:line="240" w:lineRule="auto"/>
      <w:ind w:left="426" w:right="57" w:hanging="426"/>
      <w:contextualSpacing/>
    </w:pPr>
    <w:rPr>
      <w:rFonts w:eastAsia="Arial"/>
      <w:color w:val="231F20"/>
      <w:szCs w:val="19"/>
      <w:lang w:eastAsia="en-AU"/>
    </w:rPr>
  </w:style>
  <w:style w:type="paragraph" w:styleId="Footer">
    <w:name w:val="footer"/>
    <w:basedOn w:val="Normal"/>
    <w:link w:val="FooterChar"/>
    <w:uiPriority w:val="99"/>
    <w:unhideWhenUsed/>
    <w:rsid w:val="00CA3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788"/>
    <w:rPr>
      <w:rFonts w:ascii="Arial" w:eastAsia="Calibri" w:hAnsi="Arial" w:cs="Arial"/>
      <w:color w:val="2C2C2C" w:themeColor="accent5"/>
      <w:sz w:val="18"/>
      <w:szCs w:val="22"/>
    </w:rPr>
  </w:style>
  <w:style w:type="paragraph" w:styleId="ListParagraph">
    <w:name w:val="List Paragraph"/>
    <w:basedOn w:val="Normal"/>
    <w:link w:val="ListParagraphChar"/>
    <w:uiPriority w:val="34"/>
    <w:qFormat/>
    <w:rsid w:val="00CA3788"/>
    <w:pPr>
      <w:numPr>
        <w:numId w:val="2"/>
      </w:numPr>
      <w:autoSpaceDE w:val="0"/>
      <w:autoSpaceDN w:val="0"/>
      <w:spacing w:before="120" w:line="240" w:lineRule="auto"/>
      <w:ind w:left="284" w:hanging="284"/>
      <w:contextualSpacing/>
    </w:pPr>
    <w:rPr>
      <w:rFonts w:eastAsia="HelveticaNeueLT Std Lt"/>
      <w:lang w:bidi="en-US"/>
    </w:rPr>
  </w:style>
  <w:style w:type="character" w:styleId="Hyperlink">
    <w:name w:val="Hyperlink"/>
    <w:basedOn w:val="DefaultParagraphFont"/>
    <w:uiPriority w:val="99"/>
    <w:unhideWhenUsed/>
    <w:rsid w:val="00CA3788"/>
    <w:rPr>
      <w:rFonts w:ascii="Arial" w:hAnsi="Arial"/>
      <w:color w:val="C5FFFF" w:themeColor="accent2"/>
      <w:sz w:val="18"/>
      <w:u w:val="none"/>
    </w:rPr>
  </w:style>
  <w:style w:type="paragraph" w:styleId="Title">
    <w:name w:val="Title"/>
    <w:basedOn w:val="Normal"/>
    <w:next w:val="Normal"/>
    <w:link w:val="TitleChar"/>
    <w:uiPriority w:val="10"/>
    <w:qFormat/>
    <w:rsid w:val="00CA3788"/>
    <w:pPr>
      <w:tabs>
        <w:tab w:val="left" w:pos="357"/>
      </w:tabs>
      <w:spacing w:after="227" w:line="230" w:lineRule="atLeast"/>
    </w:pPr>
    <w:rPr>
      <w:rFonts w:eastAsiaTheme="minorHAnsi" w:cstheme="minorBidi"/>
      <w:color w:val="11364D" w:themeColor="text1"/>
      <w:sz w:val="60"/>
      <w:szCs w:val="60"/>
    </w:rPr>
  </w:style>
  <w:style w:type="character" w:customStyle="1" w:styleId="TitleChar">
    <w:name w:val="Title Char"/>
    <w:basedOn w:val="DefaultParagraphFont"/>
    <w:link w:val="Title"/>
    <w:uiPriority w:val="10"/>
    <w:rsid w:val="00CA3788"/>
    <w:rPr>
      <w:rFonts w:ascii="Arial" w:hAnsi="Arial"/>
      <w:color w:val="11364D" w:themeColor="text1"/>
      <w:sz w:val="60"/>
      <w:szCs w:val="60"/>
    </w:rPr>
  </w:style>
  <w:style w:type="paragraph" w:styleId="Subtitle">
    <w:name w:val="Subtitle"/>
    <w:basedOn w:val="Normal"/>
    <w:next w:val="Normal"/>
    <w:link w:val="SubtitleChar"/>
    <w:uiPriority w:val="11"/>
    <w:qFormat/>
    <w:rsid w:val="00CA3788"/>
    <w:pPr>
      <w:tabs>
        <w:tab w:val="left" w:pos="357"/>
      </w:tabs>
      <w:spacing w:after="1134" w:line="230" w:lineRule="atLeast"/>
    </w:pPr>
    <w:rPr>
      <w:rFonts w:eastAsiaTheme="minorHAnsi" w:cstheme="minorBidi"/>
      <w:color w:val="11364D" w:themeColor="text1"/>
      <w:sz w:val="32"/>
      <w:szCs w:val="32"/>
    </w:rPr>
  </w:style>
  <w:style w:type="character" w:customStyle="1" w:styleId="SubtitleChar">
    <w:name w:val="Subtitle Char"/>
    <w:basedOn w:val="DefaultParagraphFont"/>
    <w:link w:val="Subtitle"/>
    <w:uiPriority w:val="11"/>
    <w:rsid w:val="00CA3788"/>
    <w:rPr>
      <w:rFonts w:ascii="Arial" w:hAnsi="Arial"/>
      <w:color w:val="11364D" w:themeColor="text1"/>
      <w:sz w:val="32"/>
      <w:szCs w:val="32"/>
    </w:rPr>
  </w:style>
  <w:style w:type="paragraph" w:customStyle="1" w:styleId="RACGPH2">
    <w:name w:val="RACGP H2"/>
    <w:basedOn w:val="Normal"/>
    <w:link w:val="RACGPH2Char"/>
    <w:qFormat/>
    <w:rsid w:val="00CA3788"/>
    <w:pPr>
      <w:tabs>
        <w:tab w:val="left" w:pos="567"/>
      </w:tabs>
      <w:spacing w:before="200" w:after="200" w:line="280" w:lineRule="atLeast"/>
      <w:outlineLvl w:val="1"/>
    </w:pPr>
    <w:rPr>
      <w:rFonts w:eastAsiaTheme="minorHAnsi" w:cstheme="minorBidi"/>
      <w:b/>
      <w:color w:val="008074" w:themeColor="accent3"/>
      <w:sz w:val="24"/>
      <w:szCs w:val="24"/>
    </w:rPr>
  </w:style>
  <w:style w:type="character" w:customStyle="1" w:styleId="RACGPH2Char">
    <w:name w:val="RACGP H2 Char"/>
    <w:basedOn w:val="DefaultParagraphFont"/>
    <w:link w:val="RACGPH2"/>
    <w:rsid w:val="00CA3788"/>
    <w:rPr>
      <w:rFonts w:ascii="Arial" w:hAnsi="Arial"/>
      <w:b/>
      <w:color w:val="008074" w:themeColor="accent3"/>
    </w:rPr>
  </w:style>
  <w:style w:type="character" w:customStyle="1" w:styleId="ListParagraphChar">
    <w:name w:val="List Paragraph Char"/>
    <w:basedOn w:val="DefaultParagraphFont"/>
    <w:link w:val="ListParagraph"/>
    <w:uiPriority w:val="34"/>
    <w:qFormat/>
    <w:rsid w:val="00CA3788"/>
    <w:rPr>
      <w:rFonts w:ascii="Arial" w:eastAsia="HelveticaNeueLT Std Lt" w:hAnsi="Arial" w:cs="Arial"/>
      <w:color w:val="2C2C2C" w:themeColor="accent5"/>
      <w:sz w:val="18"/>
      <w:szCs w:val="22"/>
      <w:lang w:bidi="en-US"/>
    </w:rPr>
  </w:style>
  <w:style w:type="paragraph" w:customStyle="1" w:styleId="Alphalist">
    <w:name w:val="Alpha list"/>
    <w:basedOn w:val="NumberedList"/>
    <w:qFormat/>
    <w:rsid w:val="00CA3788"/>
    <w:pPr>
      <w:numPr>
        <w:numId w:val="3"/>
      </w:numPr>
    </w:pPr>
    <w:rPr>
      <w:color w:val="2C2C2C" w:themeColor="accent5"/>
    </w:rPr>
  </w:style>
  <w:style w:type="paragraph" w:customStyle="1" w:styleId="Listparagraphlevel2">
    <w:name w:val="List paragraph level 2"/>
    <w:basedOn w:val="ListParagraph"/>
    <w:qFormat/>
    <w:rsid w:val="00CA3788"/>
    <w:pPr>
      <w:numPr>
        <w:numId w:val="5"/>
      </w:numPr>
      <w:tabs>
        <w:tab w:val="num" w:pos="360"/>
      </w:tabs>
      <w:ind w:left="993" w:hanging="227"/>
    </w:pPr>
  </w:style>
  <w:style w:type="numbering" w:styleId="111111">
    <w:name w:val="Outline List 2"/>
    <w:basedOn w:val="NoList"/>
    <w:uiPriority w:val="99"/>
    <w:semiHidden/>
    <w:unhideWhenUsed/>
    <w:rsid w:val="00CA3788"/>
    <w:pPr>
      <w:numPr>
        <w:numId w:val="6"/>
      </w:numPr>
    </w:pPr>
  </w:style>
  <w:style w:type="character" w:customStyle="1" w:styleId="Heading2Char">
    <w:name w:val="Heading 2 Char"/>
    <w:basedOn w:val="DefaultParagraphFont"/>
    <w:link w:val="Heading2"/>
    <w:uiPriority w:val="9"/>
    <w:rsid w:val="0084166D"/>
    <w:rPr>
      <w:rFonts w:ascii="Arial" w:hAnsi="Arial"/>
      <w:b/>
      <w:bCs/>
      <w:color w:val="008074" w:themeColor="accent3"/>
    </w:rPr>
  </w:style>
  <w:style w:type="character" w:customStyle="1" w:styleId="Heading3Char">
    <w:name w:val="Heading 3 Char"/>
    <w:basedOn w:val="DefaultParagraphFont"/>
    <w:link w:val="Heading3"/>
    <w:uiPriority w:val="9"/>
    <w:rsid w:val="0084166D"/>
    <w:rPr>
      <w:rFonts w:ascii="Arial" w:hAnsi="Arial"/>
      <w:b/>
      <w:color w:val="184D6E" w:themeColor="text1" w:themeTint="E6"/>
      <w:sz w:val="18"/>
      <w:szCs w:val="22"/>
    </w:rPr>
  </w:style>
  <w:style w:type="paragraph" w:customStyle="1" w:styleId="RACGPBody">
    <w:name w:val="RACGP Body"/>
    <w:basedOn w:val="Normal"/>
    <w:link w:val="RACGPBodyChar"/>
    <w:qFormat/>
    <w:rsid w:val="0084166D"/>
    <w:pPr>
      <w:tabs>
        <w:tab w:val="left" w:pos="357"/>
      </w:tabs>
      <w:spacing w:after="200" w:line="230" w:lineRule="atLeast"/>
    </w:pPr>
    <w:rPr>
      <w:rFonts w:eastAsiaTheme="minorHAnsi" w:cstheme="minorBidi"/>
    </w:rPr>
  </w:style>
  <w:style w:type="character" w:customStyle="1" w:styleId="RACGPBodyChar">
    <w:name w:val="RACGP Body Char"/>
    <w:basedOn w:val="DefaultParagraphFont"/>
    <w:link w:val="RACGPBody"/>
    <w:rsid w:val="0084166D"/>
    <w:rPr>
      <w:rFonts w:ascii="Arial" w:hAnsi="Arial"/>
      <w:color w:val="2C2C2C" w:themeColor="accent5"/>
      <w:sz w:val="18"/>
      <w:szCs w:val="22"/>
    </w:rPr>
  </w:style>
  <w:style w:type="table" w:styleId="TableGrid">
    <w:name w:val="Table Grid"/>
    <w:basedOn w:val="TableNormal"/>
    <w:uiPriority w:val="39"/>
    <w:rsid w:val="008416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CGPBullet">
    <w:name w:val="RACGP Bullet"/>
    <w:basedOn w:val="ListParagraph"/>
    <w:link w:val="RACGPBulletChar"/>
    <w:qFormat/>
    <w:rsid w:val="0084166D"/>
    <w:pPr>
      <w:numPr>
        <w:numId w:val="0"/>
      </w:numPr>
      <w:autoSpaceDE/>
      <w:autoSpaceDN/>
      <w:spacing w:before="240" w:after="142" w:line="230" w:lineRule="atLeast"/>
      <w:ind w:left="720" w:hanging="360"/>
    </w:pPr>
    <w:rPr>
      <w:rFonts w:eastAsiaTheme="minorHAnsi" w:cstheme="minorBidi"/>
      <w:color w:val="184D6E" w:themeColor="text1" w:themeTint="E6"/>
      <w:lang w:bidi="ar-SA"/>
    </w:rPr>
  </w:style>
  <w:style w:type="character" w:customStyle="1" w:styleId="RACGPBulletChar">
    <w:name w:val="RACGP Bullet Char"/>
    <w:basedOn w:val="DefaultParagraphFont"/>
    <w:link w:val="RACGPBullet"/>
    <w:rsid w:val="0084166D"/>
    <w:rPr>
      <w:rFonts w:ascii="Arial" w:hAnsi="Arial"/>
      <w:color w:val="184D6E" w:themeColor="text1" w:themeTint="E6"/>
      <w:sz w:val="18"/>
      <w:szCs w:val="22"/>
    </w:rPr>
  </w:style>
  <w:style w:type="paragraph" w:styleId="BodyText">
    <w:name w:val="Body Text"/>
    <w:basedOn w:val="NoSpacing"/>
    <w:link w:val="BodyTextChar"/>
    <w:uiPriority w:val="99"/>
    <w:unhideWhenUsed/>
    <w:rsid w:val="0084166D"/>
    <w:pPr>
      <w:tabs>
        <w:tab w:val="left" w:pos="357"/>
      </w:tabs>
      <w:spacing w:after="200" w:line="230" w:lineRule="atLeast"/>
    </w:pPr>
    <w:rPr>
      <w:rFonts w:eastAsiaTheme="minorHAnsi" w:cstheme="minorBidi"/>
    </w:rPr>
  </w:style>
  <w:style w:type="character" w:customStyle="1" w:styleId="BodyTextChar">
    <w:name w:val="Body Text Char"/>
    <w:basedOn w:val="DefaultParagraphFont"/>
    <w:link w:val="BodyText"/>
    <w:uiPriority w:val="99"/>
    <w:rsid w:val="0084166D"/>
    <w:rPr>
      <w:rFonts w:ascii="Arial" w:hAnsi="Arial"/>
      <w:color w:val="2C2C2C" w:themeColor="accent5"/>
      <w:sz w:val="18"/>
      <w:szCs w:val="22"/>
    </w:rPr>
  </w:style>
  <w:style w:type="paragraph" w:styleId="NoSpacing">
    <w:name w:val="No Spacing"/>
    <w:uiPriority w:val="1"/>
    <w:qFormat/>
    <w:rsid w:val="0084166D"/>
    <w:rPr>
      <w:rFonts w:ascii="Arial" w:eastAsia="Calibri" w:hAnsi="Arial" w:cs="Arial"/>
      <w:color w:val="2C2C2C" w:themeColor="accent5"/>
      <w:sz w:val="18"/>
      <w:szCs w:val="22"/>
    </w:rPr>
  </w:style>
  <w:style w:type="paragraph" w:customStyle="1" w:styleId="RACGPH3">
    <w:name w:val="RACGP H3"/>
    <w:link w:val="RACGPH3Char"/>
    <w:qFormat/>
    <w:rsid w:val="00EC266F"/>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EC266F"/>
    <w:rPr>
      <w:rFonts w:ascii="Arial" w:hAnsi="Arial"/>
      <w:b/>
      <w:color w:val="184D6E" w:themeColor="text1" w:themeTint="E6"/>
      <w:sz w:val="18"/>
      <w:szCs w:val="22"/>
    </w:rPr>
  </w:style>
  <w:style w:type="paragraph" w:customStyle="1" w:styleId="RACGPBulletsL2">
    <w:name w:val="RACGP Bullets L2"/>
    <w:basedOn w:val="Normal"/>
    <w:qFormat/>
    <w:rsid w:val="006E57AF"/>
    <w:pPr>
      <w:tabs>
        <w:tab w:val="left" w:pos="357"/>
      </w:tabs>
      <w:spacing w:before="240" w:after="142" w:line="230" w:lineRule="atLeast"/>
      <w:ind w:left="1434" w:hanging="357"/>
      <w:contextualSpacing/>
    </w:pPr>
    <w:rPr>
      <w:rFonts w:eastAsiaTheme="minorHAnsi" w:cstheme="minorBidi"/>
    </w:rPr>
  </w:style>
  <w:style w:type="paragraph" w:customStyle="1" w:styleId="Default">
    <w:name w:val="Default"/>
    <w:rsid w:val="006E57AF"/>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getmedia/726d015d-c7ed-488d-94bf-e708559f3f75/CPD-Activities-Evidence-Guide.pdf.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pbt.com.au/calculator/"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Policy/Position%20Statement.dotx" TargetMode="External"/></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f6e231-9397-4476-9b0c-a55a60bb7f73">
      <Terms xmlns="http://schemas.microsoft.com/office/infopath/2007/PartnerControls"/>
    </lcf76f155ced4ddcb4097134ff3c332f>
    <TaxCatchAll xmlns="63a6e35b-1a0d-4b26-8059-9d7fbfec19c3" xsi:nil="true"/>
    <_dlc_DocId xmlns="63a6e35b-1a0d-4b26-8059-9d7fbfec19c3">EDEYZVM3SA3E-1931001523-35201</_dlc_DocId>
    <_dlc_DocIdUrl xmlns="63a6e35b-1a0d-4b26-8059-9d7fbfec19c3">
      <Url>https://onegp.sharepoint.com/sites/doclib/_layouts/15/DocIdRedir.aspx?ID=EDEYZVM3SA3E-1931001523-35201</Url>
      <Description>EDEYZVM3SA3E-1931001523-35201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04236DABDF9674C8E980EA9E0FA9F6C" ma:contentTypeVersion="18" ma:contentTypeDescription="Create a new document." ma:contentTypeScope="" ma:versionID="4e6d5db07ef3213815e72441d0192bbf">
  <xsd:schema xmlns:xsd="http://www.w3.org/2001/XMLSchema" xmlns:xs="http://www.w3.org/2001/XMLSchema" xmlns:p="http://schemas.microsoft.com/office/2006/metadata/properties" xmlns:ns2="63a6e35b-1a0d-4b26-8059-9d7fbfec19c3" xmlns:ns3="caf6e231-9397-4476-9b0c-a55a60bb7f73" targetNamespace="http://schemas.microsoft.com/office/2006/metadata/properties" ma:root="true" ma:fieldsID="f7648efd938f2f3ef4a14ed80ade300b" ns2:_="" ns3:_="">
    <xsd:import namespace="63a6e35b-1a0d-4b26-8059-9d7fbfec19c3"/>
    <xsd:import namespace="caf6e231-9397-4476-9b0c-a55a60bb7f7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f6e231-9397-4476-9b0c-a55a60bb7f7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D8A11A-B1DC-475B-8695-CBC2C80C9F96}">
  <ds:schemaRefs>
    <ds:schemaRef ds:uri="http://schemas.openxmlformats.org/officeDocument/2006/bibliography"/>
  </ds:schemaRefs>
</ds:datastoreItem>
</file>

<file path=customXml/itemProps2.xml><?xml version="1.0" encoding="utf-8"?>
<ds:datastoreItem xmlns:ds="http://schemas.openxmlformats.org/officeDocument/2006/customXml" ds:itemID="{0B018593-6816-474F-B572-9DC7C73D6976}">
  <ds:schemaRefs>
    <ds:schemaRef ds:uri="http://schemas.microsoft.com/office/2006/metadata/properties"/>
    <ds:schemaRef ds:uri="http://schemas.microsoft.com/office/infopath/2007/PartnerControls"/>
    <ds:schemaRef ds:uri="caf6e231-9397-4476-9b0c-a55a60bb7f73"/>
    <ds:schemaRef ds:uri="63a6e35b-1a0d-4b26-8059-9d7fbfec19c3"/>
  </ds:schemaRefs>
</ds:datastoreItem>
</file>

<file path=customXml/itemProps3.xml><?xml version="1.0" encoding="utf-8"?>
<ds:datastoreItem xmlns:ds="http://schemas.openxmlformats.org/officeDocument/2006/customXml" ds:itemID="{0A3061E9-CFE3-49A0-9E12-8D0725D6CA3C}">
  <ds:schemaRefs>
    <ds:schemaRef ds:uri="http://schemas.microsoft.com/sharepoint/events"/>
  </ds:schemaRefs>
</ds:datastoreItem>
</file>

<file path=customXml/itemProps4.xml><?xml version="1.0" encoding="utf-8"?>
<ds:datastoreItem xmlns:ds="http://schemas.openxmlformats.org/officeDocument/2006/customXml" ds:itemID="{318BDC78-0DDD-4F65-AFDF-3D00014DA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caf6e231-9397-4476-9b0c-a55a60bb7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3421D0-30CA-4668-A121-5AD94500CC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Position%20Statement</Template>
  <TotalTime>3</TotalTime>
  <Pages>2</Pages>
  <Words>333</Words>
  <Characters>1903</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Chin</dc:creator>
  <cp:keywords/>
  <dc:description/>
  <cp:lastModifiedBy>May Chin</cp:lastModifiedBy>
  <cp:revision>5</cp:revision>
  <dcterms:created xsi:type="dcterms:W3CDTF">2025-06-25T00:30:00Z</dcterms:created>
  <dcterms:modified xsi:type="dcterms:W3CDTF">2025-06-25T00:41:00Z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0x010100A04236DABDF9674C8E980EA9E0FA9F6C</vt:lpwstr>
  </property>
  <property fmtid="{D5CDD505-2E9C-101B-9397-08002B2CF9AE}" pid="3" name="_dlc_DocIdItemGuid">
    <vt:lpwstr>506540b8-14f5-4287-a723-db8fa5843ba6</vt:lpwstr>
  </property>
  <property fmtid="{D5CDD505-2E9C-101B-9397-08002B2CF9AE}" pid="4" name="MediaServiceImageTags">
    <vt:lpwstr/>
  </property>
</Properties>
</file>