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8377" w14:textId="57C0CFB1" w:rsidR="000C0857" w:rsidRDefault="000C0857" w:rsidP="000C0857">
      <w:pPr>
        <w:rPr>
          <w:rFonts w:ascii="Georgia" w:hAnsi="Georgia" w:cs="Adobe Devanagari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Georgia" w:hAnsi="Georgia" w:cs="Adobe Devanagari"/>
          <w:i/>
          <w:color w:val="000000" w:themeColor="text1"/>
          <w:sz w:val="32"/>
          <w:szCs w:val="32"/>
        </w:rPr>
        <w:t>Summary of what could be included in an employment contract (checklist example)</w:t>
      </w:r>
    </w:p>
    <w:p w14:paraId="68AAD35B" w14:textId="23AC5B1B" w:rsidR="00062BE7" w:rsidRDefault="000C0857" w:rsidP="000C0857">
      <w:pPr>
        <w:rPr>
          <w:rFonts w:cs="Arial"/>
          <w:color w:val="000000" w:themeColor="text1"/>
          <w:szCs w:val="20"/>
        </w:rPr>
      </w:pPr>
      <w:r w:rsidRPr="000C0857">
        <w:rPr>
          <w:rFonts w:cs="Arial"/>
          <w:color w:val="000000" w:themeColor="text1"/>
          <w:szCs w:val="20"/>
        </w:rPr>
        <w:t>A written employment contract is the legal relationship between the employer and the</w:t>
      </w:r>
      <w:r>
        <w:rPr>
          <w:rFonts w:cs="Arial"/>
          <w:color w:val="000000" w:themeColor="text1"/>
          <w:szCs w:val="20"/>
        </w:rPr>
        <w:t xml:space="preserve"> employee. </w:t>
      </w:r>
      <w:r w:rsidRPr="000C0857">
        <w:rPr>
          <w:rFonts w:cs="Arial"/>
          <w:color w:val="000000" w:themeColor="text1"/>
          <w:szCs w:val="20"/>
        </w:rPr>
        <w:t>Before commencing a new position in a medical practice, it is important to</w:t>
      </w:r>
      <w:r>
        <w:rPr>
          <w:rFonts w:cs="Arial"/>
          <w:color w:val="000000" w:themeColor="text1"/>
          <w:szCs w:val="20"/>
        </w:rPr>
        <w:t xml:space="preserve"> </w:t>
      </w:r>
      <w:r w:rsidRPr="000C0857">
        <w:rPr>
          <w:rFonts w:cs="Arial"/>
          <w:color w:val="000000" w:themeColor="text1"/>
          <w:szCs w:val="20"/>
        </w:rPr>
        <w:t>have a signed and mutually agreed contract of employment. This checklist is</w:t>
      </w:r>
      <w:r w:rsidR="00834364">
        <w:rPr>
          <w:rFonts w:cs="Arial"/>
          <w:color w:val="000000" w:themeColor="text1"/>
          <w:szCs w:val="20"/>
        </w:rPr>
        <w:t xml:space="preserve"> not exhaustive and is</w:t>
      </w:r>
      <w:r w:rsidRPr="000C0857">
        <w:rPr>
          <w:rFonts w:cs="Arial"/>
          <w:color w:val="000000" w:themeColor="text1"/>
          <w:szCs w:val="20"/>
        </w:rPr>
        <w:t xml:space="preserve"> provided</w:t>
      </w:r>
      <w:r>
        <w:rPr>
          <w:rFonts w:cs="Arial"/>
          <w:color w:val="000000" w:themeColor="text1"/>
          <w:szCs w:val="20"/>
        </w:rPr>
        <w:t xml:space="preserve"> </w:t>
      </w:r>
      <w:r w:rsidRPr="000C0857">
        <w:rPr>
          <w:rFonts w:cs="Arial"/>
          <w:color w:val="000000" w:themeColor="text1"/>
          <w:szCs w:val="20"/>
        </w:rPr>
        <w:t>as a guide only.</w:t>
      </w:r>
    </w:p>
    <w:p w14:paraId="152CF98E" w14:textId="337660DA" w:rsidR="008D4274" w:rsidRDefault="008D4274" w:rsidP="000C0857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8D4274">
          <w:rPr>
            <w:rStyle w:val="Hyperlink"/>
            <w:rFonts w:cs="Arial"/>
            <w:i/>
            <w:szCs w:val="20"/>
          </w:rPr>
          <w:t>Employer guide (3</w:t>
        </w:r>
        <w:r w:rsidRPr="008D4274">
          <w:rPr>
            <w:rStyle w:val="Hyperlink"/>
            <w:rFonts w:cs="Arial"/>
            <w:i/>
            <w:szCs w:val="20"/>
            <w:vertAlign w:val="superscript"/>
          </w:rPr>
          <w:t>rd</w:t>
        </w:r>
        <w:r w:rsidRPr="008D4274">
          <w:rPr>
            <w:rStyle w:val="Hyperlink"/>
            <w:rFonts w:cs="Arial"/>
            <w:i/>
            <w:szCs w:val="20"/>
          </w:rPr>
          <w:t xml:space="preserve"> edition)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2122"/>
        <w:gridCol w:w="2409"/>
        <w:gridCol w:w="4596"/>
      </w:tblGrid>
      <w:tr w:rsidR="002A029B" w14:paraId="68E3D19C" w14:textId="77777777" w:rsidTr="008D4274">
        <w:trPr>
          <w:trHeight w:val="511"/>
        </w:trPr>
        <w:tc>
          <w:tcPr>
            <w:tcW w:w="2122" w:type="dxa"/>
            <w:shd w:val="clear" w:color="auto" w:fill="2E74B5" w:themeFill="accent1" w:themeFillShade="BF"/>
          </w:tcPr>
          <w:p w14:paraId="4FDD7475" w14:textId="58B82E4F" w:rsidR="002A029B" w:rsidRPr="008D4274" w:rsidRDefault="002A029B" w:rsidP="002A029B">
            <w:pPr>
              <w:spacing w:before="240"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D4274">
              <w:rPr>
                <w:rFonts w:cs="Arial"/>
                <w:b/>
                <w:color w:val="FFFFFF" w:themeColor="background1"/>
                <w:sz w:val="16"/>
                <w:szCs w:val="16"/>
              </w:rPr>
              <w:t>Category</w:t>
            </w:r>
          </w:p>
        </w:tc>
        <w:tc>
          <w:tcPr>
            <w:tcW w:w="2409" w:type="dxa"/>
            <w:shd w:val="clear" w:color="auto" w:fill="2E74B5" w:themeFill="accent1" w:themeFillShade="BF"/>
          </w:tcPr>
          <w:p w14:paraId="7DC97A5A" w14:textId="4FCB399D" w:rsidR="002A029B" w:rsidRPr="008D4274" w:rsidRDefault="002A029B" w:rsidP="002A029B">
            <w:pPr>
              <w:spacing w:before="240"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D4274">
              <w:rPr>
                <w:rFonts w:cs="Arial"/>
                <w:b/>
                <w:color w:val="FFFFFF" w:themeColor="background1"/>
                <w:sz w:val="16"/>
                <w:szCs w:val="16"/>
              </w:rPr>
              <w:t>Description</w:t>
            </w:r>
          </w:p>
        </w:tc>
        <w:tc>
          <w:tcPr>
            <w:tcW w:w="4596" w:type="dxa"/>
            <w:shd w:val="clear" w:color="auto" w:fill="2E74B5" w:themeFill="accent1" w:themeFillShade="BF"/>
          </w:tcPr>
          <w:p w14:paraId="3567C455" w14:textId="4691E6F7" w:rsidR="002A029B" w:rsidRPr="008D4274" w:rsidRDefault="002A029B" w:rsidP="002A029B">
            <w:pPr>
              <w:spacing w:before="240"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D4274">
              <w:rPr>
                <w:rFonts w:cs="Arial"/>
                <w:b/>
                <w:color w:val="FFFFFF" w:themeColor="background1"/>
                <w:sz w:val="16"/>
                <w:szCs w:val="16"/>
              </w:rPr>
              <w:t>Insert your notes here</w:t>
            </w:r>
          </w:p>
        </w:tc>
      </w:tr>
      <w:tr w:rsidR="002A029B" w14:paraId="3DAA3CDD" w14:textId="77777777" w:rsidTr="008D4274">
        <w:trPr>
          <w:trHeight w:val="884"/>
        </w:trPr>
        <w:tc>
          <w:tcPr>
            <w:tcW w:w="2122" w:type="dxa"/>
            <w:shd w:val="clear" w:color="auto" w:fill="BDD6EE" w:themeFill="accent1" w:themeFillTint="66"/>
          </w:tcPr>
          <w:p w14:paraId="06ED3A9F" w14:textId="4766A540" w:rsidR="002A029B" w:rsidRPr="008D4274" w:rsidRDefault="002A029B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Type of employment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5EE9D48" w14:textId="0FA6E80F" w:rsidR="002A029B" w:rsidRPr="008D4274" w:rsidRDefault="005B4B71" w:rsidP="005B4B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Full time, part time, casual, permanent full time, </w:t>
            </w:r>
            <w:r w:rsidR="002A029B"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permanent part time, other</w:t>
            </w:r>
          </w:p>
        </w:tc>
        <w:tc>
          <w:tcPr>
            <w:tcW w:w="4596" w:type="dxa"/>
          </w:tcPr>
          <w:p w14:paraId="3E14C3D9" w14:textId="77777777" w:rsidR="002A029B" w:rsidRPr="008D4274" w:rsidRDefault="002A029B" w:rsidP="000C0857">
            <w:pPr>
              <w:rPr>
                <w:rFonts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2A029B" w14:paraId="1BB3178C" w14:textId="77777777" w:rsidTr="008D4274">
        <w:trPr>
          <w:trHeight w:val="1766"/>
        </w:trPr>
        <w:tc>
          <w:tcPr>
            <w:tcW w:w="2122" w:type="dxa"/>
            <w:shd w:val="clear" w:color="auto" w:fill="BDD6EE" w:themeFill="accent1" w:themeFillTint="66"/>
          </w:tcPr>
          <w:p w14:paraId="46EDCCBE" w14:textId="4CE0A8FD" w:rsidR="002A029B" w:rsidRPr="002A029B" w:rsidRDefault="002A029B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Commencement date and location </w:t>
            </w: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of employment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90EA2B4" w14:textId="11759180" w:rsidR="002A029B" w:rsidRPr="005B4B71" w:rsidRDefault="002A029B" w:rsidP="005B4B7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The commencement</w:t>
            </w:r>
            <w:r w:rsid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date of employment</w:t>
            </w:r>
          </w:p>
          <w:p w14:paraId="2BD4626D" w14:textId="72BCDE91" w:rsidR="002A029B" w:rsidRPr="005B4B71" w:rsidRDefault="005B4B71" w:rsidP="005B4B7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Location of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employment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including on-call and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after hours requirements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to attend patient’s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homes, hospitals,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residential aged care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facilities and workplaces</w:t>
            </w:r>
          </w:p>
        </w:tc>
        <w:tc>
          <w:tcPr>
            <w:tcW w:w="4596" w:type="dxa"/>
          </w:tcPr>
          <w:p w14:paraId="0DD0BB6E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7301D22F" w14:textId="77777777" w:rsidTr="008D4274">
        <w:trPr>
          <w:trHeight w:val="884"/>
        </w:trPr>
        <w:tc>
          <w:tcPr>
            <w:tcW w:w="2122" w:type="dxa"/>
            <w:shd w:val="clear" w:color="auto" w:fill="BDD6EE" w:themeFill="accent1" w:themeFillTint="66"/>
          </w:tcPr>
          <w:p w14:paraId="409B0C42" w14:textId="7916C010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Position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029E4561" w14:textId="77777777" w:rsidR="002A029B" w:rsidRPr="002A029B" w:rsidRDefault="002A029B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The position title and who you</w:t>
            </w:r>
          </w:p>
          <w:p w14:paraId="173214E0" w14:textId="0CD84866" w:rsidR="002A029B" w:rsidRPr="002A029B" w:rsidRDefault="002A029B" w:rsidP="002A029B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will be reporting to</w:t>
            </w:r>
          </w:p>
        </w:tc>
        <w:tc>
          <w:tcPr>
            <w:tcW w:w="4596" w:type="dxa"/>
          </w:tcPr>
          <w:p w14:paraId="77578121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507F8D8E" w14:textId="77777777" w:rsidTr="008D4274">
        <w:trPr>
          <w:trHeight w:val="1804"/>
        </w:trPr>
        <w:tc>
          <w:tcPr>
            <w:tcW w:w="2122" w:type="dxa"/>
            <w:shd w:val="clear" w:color="auto" w:fill="BDD6EE" w:themeFill="accent1" w:themeFillTint="66"/>
          </w:tcPr>
          <w:p w14:paraId="27E95760" w14:textId="24924E7C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Hours of work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A187207" w14:textId="6528F9D3" w:rsidR="002A029B" w:rsidRPr="005B4B71" w:rsidRDefault="002A029B" w:rsidP="005B4B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The ordinary hours you</w:t>
            </w:r>
            <w:r w:rsidR="005B4B71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are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required to work</w:t>
            </w:r>
          </w:p>
          <w:p w14:paraId="2291405A" w14:textId="13C6B7F0" w:rsidR="002A029B" w:rsidRPr="005B4B71" w:rsidRDefault="002A029B" w:rsidP="005B4B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Number of sessions,</w:t>
            </w:r>
            <w:r w:rsidR="005B4B71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patients per hour</w:t>
            </w:r>
          </w:p>
          <w:p w14:paraId="778653B4" w14:textId="13BDE94E" w:rsidR="002A029B" w:rsidRPr="005B4B71" w:rsidRDefault="002A029B" w:rsidP="005B4B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After hours work and oncall</w:t>
            </w:r>
            <w:r w:rsidR="005B4B71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requirements</w:t>
            </w:r>
          </w:p>
          <w:p w14:paraId="3DC9D2EB" w14:textId="4D80232A" w:rsidR="002A029B" w:rsidRPr="005B4B71" w:rsidRDefault="002A029B" w:rsidP="005B4B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Any additional hours as</w:t>
            </w:r>
            <w:r w:rsidR="005B4B71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reasonably necessary </w:t>
            </w:r>
            <w:r w:rsidR="005B4B71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and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agreed</w:t>
            </w:r>
          </w:p>
        </w:tc>
        <w:tc>
          <w:tcPr>
            <w:tcW w:w="4596" w:type="dxa"/>
          </w:tcPr>
          <w:p w14:paraId="02AD616F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1321BBAB" w14:textId="77777777" w:rsidTr="008D4274">
        <w:trPr>
          <w:trHeight w:val="1830"/>
        </w:trPr>
        <w:tc>
          <w:tcPr>
            <w:tcW w:w="2122" w:type="dxa"/>
            <w:shd w:val="clear" w:color="auto" w:fill="BDD6EE" w:themeFill="accent1" w:themeFillTint="66"/>
          </w:tcPr>
          <w:p w14:paraId="48665D33" w14:textId="20B00B6F" w:rsidR="002A029B" w:rsidRPr="002A029B" w:rsidRDefault="002A029B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Remuneration arrangements and advice of remuneration </w:t>
            </w:r>
            <w:r w:rsid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(payslips 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and pay </w:t>
            </w: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information)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5D2A6EB5" w14:textId="5AD61763" w:rsidR="002A029B" w:rsidRPr="005B4B71" w:rsidRDefault="005B4B71" w:rsidP="005B4B7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Pay period/billing cycle (weekly, fortnightly, </w:t>
            </w:r>
            <w:r w:rsidR="002A029B"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monthly other)</w:t>
            </w:r>
          </w:p>
          <w:p w14:paraId="3FE5EB9F" w14:textId="0B3821F5" w:rsidR="002A029B" w:rsidRPr="005B4B71" w:rsidRDefault="002A029B" w:rsidP="005B4B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Gross salary/net salary</w:t>
            </w:r>
          </w:p>
          <w:p w14:paraId="1A124B7D" w14:textId="6A3B3F19" w:rsidR="002A029B" w:rsidRPr="005B4B71" w:rsidRDefault="002A029B" w:rsidP="005B4B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Pay or ordinary hours or</w:t>
            </w:r>
            <w:r w:rsid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percentage of billings,</w:t>
            </w:r>
            <w:r w:rsid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allowances,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overtime</w:t>
            </w:r>
            <w:r w:rsid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payments, expense</w:t>
            </w:r>
            <w:r w:rsid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5B4B71">
              <w:rPr>
                <w:rFonts w:cs="Arial"/>
                <w:color w:val="0D0D0D" w:themeColor="text1" w:themeTint="F2"/>
                <w:sz w:val="16"/>
                <w:szCs w:val="16"/>
              </w:rPr>
              <w:t>reimbursement</w:t>
            </w:r>
          </w:p>
        </w:tc>
        <w:tc>
          <w:tcPr>
            <w:tcW w:w="4596" w:type="dxa"/>
          </w:tcPr>
          <w:p w14:paraId="4AE6CBB5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7EE3A8EB" w14:textId="77777777" w:rsidTr="008D4274">
        <w:trPr>
          <w:trHeight w:val="884"/>
        </w:trPr>
        <w:tc>
          <w:tcPr>
            <w:tcW w:w="2122" w:type="dxa"/>
            <w:shd w:val="clear" w:color="auto" w:fill="BDD6EE" w:themeFill="accent1" w:themeFillTint="66"/>
          </w:tcPr>
          <w:p w14:paraId="10294B97" w14:textId="628030F8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Superannuation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B45A9BD" w14:textId="40935346" w:rsidR="002A029B" w:rsidRPr="005B4B71" w:rsidRDefault="005B4B71" w:rsidP="005B4B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9% superannuation </w:t>
            </w:r>
            <w:r w:rsidR="002A029B"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(minimum)</w:t>
            </w:r>
          </w:p>
        </w:tc>
        <w:tc>
          <w:tcPr>
            <w:tcW w:w="4596" w:type="dxa"/>
          </w:tcPr>
          <w:p w14:paraId="5A8D6EE2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5402337D" w14:textId="77777777" w:rsidTr="008D4274">
        <w:trPr>
          <w:trHeight w:val="884"/>
        </w:trPr>
        <w:tc>
          <w:tcPr>
            <w:tcW w:w="2122" w:type="dxa"/>
            <w:shd w:val="clear" w:color="auto" w:fill="BDD6EE" w:themeFill="accent1" w:themeFillTint="66"/>
          </w:tcPr>
          <w:p w14:paraId="7ED430E2" w14:textId="2DE7F214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Leave entitlements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3B3EF54" w14:textId="77777777" w:rsidR="002A029B" w:rsidRPr="008D4274" w:rsidRDefault="002A029B" w:rsidP="008D42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Annual leave</w:t>
            </w:r>
          </w:p>
          <w:p w14:paraId="4A2591FB" w14:textId="178504ED" w:rsidR="002A029B" w:rsidRPr="008D4274" w:rsidRDefault="008D4274" w:rsidP="008D42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Personal leave (including sick leave, carers leave and compassionate </w:t>
            </w:r>
            <w:r w:rsidR="002A029B"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leave)</w:t>
            </w:r>
          </w:p>
          <w:p w14:paraId="1E5E2586" w14:textId="25573056" w:rsidR="002A029B" w:rsidRPr="008D4274" w:rsidRDefault="002A029B" w:rsidP="008D42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Long service leave</w:t>
            </w:r>
          </w:p>
          <w:p w14:paraId="1CD24944" w14:textId="40FCD164" w:rsidR="002A029B" w:rsidRPr="008D4274" w:rsidRDefault="002A029B" w:rsidP="008D42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Parental leave</w:t>
            </w:r>
          </w:p>
          <w:p w14:paraId="2D645580" w14:textId="636C7D53" w:rsidR="002A029B" w:rsidRPr="008D4274" w:rsidRDefault="002A029B" w:rsidP="008D4274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D0D0D" w:themeColor="text1" w:themeTint="F2"/>
                <w:szCs w:val="20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lastRenderedPageBreak/>
              <w:t>Study leave</w:t>
            </w:r>
          </w:p>
        </w:tc>
        <w:tc>
          <w:tcPr>
            <w:tcW w:w="4596" w:type="dxa"/>
          </w:tcPr>
          <w:p w14:paraId="7D30CBAA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4D78DE39" w14:textId="77777777" w:rsidTr="008D4274">
        <w:trPr>
          <w:trHeight w:val="3685"/>
        </w:trPr>
        <w:tc>
          <w:tcPr>
            <w:tcW w:w="2122" w:type="dxa"/>
            <w:shd w:val="clear" w:color="auto" w:fill="BDD6EE" w:themeFill="accent1" w:themeFillTint="66"/>
          </w:tcPr>
          <w:p w14:paraId="6F747F8D" w14:textId="15BC367B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Other conditions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3C7FC25" w14:textId="77777777" w:rsidR="002A029B" w:rsidRPr="008D4274" w:rsidRDefault="002A029B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Induction and orientation</w:t>
            </w:r>
          </w:p>
          <w:p w14:paraId="43E3CBC6" w14:textId="77777777" w:rsidR="008D4274" w:rsidRPr="008D4274" w:rsidRDefault="008D4274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Performance management</w:t>
            </w:r>
          </w:p>
          <w:p w14:paraId="2BAA0219" w14:textId="759BE054" w:rsidR="002A029B" w:rsidRPr="008D4274" w:rsidRDefault="008D4274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Dispute resolution </w:t>
            </w:r>
            <w:r w:rsidR="002A029B"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procedure</w:t>
            </w:r>
          </w:p>
          <w:p w14:paraId="7E260F37" w14:textId="2B517550" w:rsidR="002A029B" w:rsidRPr="008D4274" w:rsidRDefault="008D4274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Termination of employment (including </w:t>
            </w:r>
            <w:r w:rsidR="002A029B"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notice period)</w:t>
            </w:r>
          </w:p>
          <w:p w14:paraId="1522AFB0" w14:textId="362FC04D" w:rsidR="002A029B" w:rsidRPr="008D4274" w:rsidRDefault="002A029B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Intellectual property</w:t>
            </w:r>
          </w:p>
          <w:p w14:paraId="0A74F7D6" w14:textId="15D57614" w:rsidR="002A029B" w:rsidRPr="008D4274" w:rsidRDefault="008D4274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Policies, procedures and </w:t>
            </w:r>
            <w:r w:rsidR="002A029B"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code of conduct</w:t>
            </w:r>
          </w:p>
          <w:p w14:paraId="44548F81" w14:textId="5B129FD8" w:rsidR="002A029B" w:rsidRPr="008D4274" w:rsidRDefault="002A029B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Assignment of copyright</w:t>
            </w:r>
          </w:p>
          <w:p w14:paraId="7B121BA1" w14:textId="5AA18D98" w:rsidR="002A029B" w:rsidRPr="008D4274" w:rsidRDefault="002A029B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Return of property</w:t>
            </w:r>
          </w:p>
          <w:p w14:paraId="00BAF28B" w14:textId="4F58CD6A" w:rsidR="002A029B" w:rsidRPr="008D4274" w:rsidRDefault="002A029B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Conflict of interest</w:t>
            </w:r>
          </w:p>
          <w:p w14:paraId="634E31FE" w14:textId="452DAA71" w:rsidR="002A029B" w:rsidRPr="008D4274" w:rsidRDefault="008D4274" w:rsidP="008D42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 w:rsidRPr="008D4274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Education and supervision (in-practice teaching, educational release time, supervisor </w:t>
            </w:r>
            <w:r w:rsidR="002A029B" w:rsidRPr="008D4274">
              <w:rPr>
                <w:rFonts w:cs="Arial"/>
                <w:color w:val="0D0D0D" w:themeColor="text1" w:themeTint="F2"/>
                <w:sz w:val="16"/>
                <w:szCs w:val="16"/>
              </w:rPr>
              <w:t>obligations, other)</w:t>
            </w:r>
          </w:p>
        </w:tc>
        <w:tc>
          <w:tcPr>
            <w:tcW w:w="4596" w:type="dxa"/>
          </w:tcPr>
          <w:p w14:paraId="49E0BB29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3A4DE2D9" w14:textId="77777777" w:rsidTr="008D4274">
        <w:trPr>
          <w:trHeight w:val="884"/>
        </w:trPr>
        <w:tc>
          <w:tcPr>
            <w:tcW w:w="2122" w:type="dxa"/>
            <w:shd w:val="clear" w:color="auto" w:fill="BDD6EE" w:themeFill="accent1" w:themeFillTint="66"/>
          </w:tcPr>
          <w:p w14:paraId="66ED1782" w14:textId="2F041C41" w:rsidR="002A029B" w:rsidRPr="002A029B" w:rsidRDefault="002A029B" w:rsidP="002A029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z w:val="16"/>
                <w:szCs w:val="16"/>
              </w:rPr>
              <w:t>Insurance and</w:t>
            </w:r>
            <w:r w:rsidR="005B4B71"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D0D0D" w:themeColor="text1" w:themeTint="F2"/>
                <w:sz w:val="16"/>
                <w:szCs w:val="16"/>
              </w:rPr>
              <w:t xml:space="preserve">professional indemnity </w:t>
            </w: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responsibilities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30ABB310" w14:textId="7F1AF53F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Medical indemnity insurance</w:t>
            </w:r>
          </w:p>
        </w:tc>
        <w:tc>
          <w:tcPr>
            <w:tcW w:w="4596" w:type="dxa"/>
          </w:tcPr>
          <w:p w14:paraId="460148AD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  <w:tr w:rsidR="002A029B" w14:paraId="22C35311" w14:textId="77777777" w:rsidTr="008D4274">
        <w:trPr>
          <w:trHeight w:val="884"/>
        </w:trPr>
        <w:tc>
          <w:tcPr>
            <w:tcW w:w="2122" w:type="dxa"/>
            <w:shd w:val="clear" w:color="auto" w:fill="BDD6EE" w:themeFill="accent1" w:themeFillTint="66"/>
          </w:tcPr>
          <w:p w14:paraId="1C4C8D35" w14:textId="1DCC6D96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  <w:r w:rsidRPr="002A029B">
              <w:rPr>
                <w:rFonts w:cs="Arial"/>
                <w:color w:val="0D0D0D" w:themeColor="text1" w:themeTint="F2"/>
                <w:sz w:val="16"/>
                <w:szCs w:val="16"/>
              </w:rPr>
              <w:t>Other</w:t>
            </w:r>
          </w:p>
        </w:tc>
        <w:tc>
          <w:tcPr>
            <w:tcW w:w="7005" w:type="dxa"/>
            <w:gridSpan w:val="2"/>
          </w:tcPr>
          <w:p w14:paraId="738725D5" w14:textId="77777777" w:rsidR="002A029B" w:rsidRPr="002A029B" w:rsidRDefault="002A029B" w:rsidP="000C0857">
            <w:pPr>
              <w:rPr>
                <w:rFonts w:cs="Arial"/>
                <w:color w:val="0D0D0D" w:themeColor="text1" w:themeTint="F2"/>
                <w:szCs w:val="20"/>
              </w:rPr>
            </w:pPr>
          </w:p>
        </w:tc>
      </w:tr>
    </w:tbl>
    <w:p w14:paraId="2B1D620F" w14:textId="77777777" w:rsidR="002A029B" w:rsidRDefault="002A029B" w:rsidP="000C0857">
      <w:pPr>
        <w:rPr>
          <w:rFonts w:cs="Arial"/>
          <w:color w:val="000000" w:themeColor="text1"/>
          <w:szCs w:val="20"/>
        </w:rPr>
      </w:pPr>
    </w:p>
    <w:p w14:paraId="3E92AC28" w14:textId="77777777" w:rsidR="008D4274" w:rsidRDefault="008D4274" w:rsidP="000C0857">
      <w:pPr>
        <w:rPr>
          <w:rFonts w:cs="Arial"/>
          <w:color w:val="000000" w:themeColor="text1"/>
          <w:szCs w:val="20"/>
        </w:rPr>
      </w:pPr>
    </w:p>
    <w:p w14:paraId="33A68B5E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2CCA911D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1B4623A6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277D297B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63DB244C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3691EB30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3DFFC80F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2C2E6FF4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21CC5F38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41E08D5B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153DEA9A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</w:p>
    <w:p w14:paraId="57062DD4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</w:p>
    <w:p w14:paraId="42E12739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Disclaimer</w:t>
      </w:r>
    </w:p>
    <w:p w14:paraId="52AA9098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</w:p>
    <w:p w14:paraId="7479FDB8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  <w:r w:rsidRPr="00B60163">
        <w:rPr>
          <w:rFonts w:ascii="HelveticaNeueLTStd-Lt" w:hAnsi="HelveticaNeueLTStd-Lt" w:cs="HelveticaNeueLTStd-Lt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</w:t>
      </w:r>
      <w:r>
        <w:rPr>
          <w:rFonts w:ascii="HelveticaNeueLTStd-Lt" w:hAnsi="HelveticaNeueLTStd-Lt" w:cs="HelveticaNeueLTStd-Lt"/>
          <w:sz w:val="16"/>
          <w:szCs w:val="16"/>
        </w:rPr>
        <w:t xml:space="preserve"> 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The RACGP and its employees and agents </w:t>
      </w:r>
      <w:r>
        <w:rPr>
          <w:rFonts w:ascii="HelveticaNeueLTStd-Lt" w:hAnsi="HelveticaNeueLTStd-Lt" w:cs="HelveticaNeueLTStd-Lt"/>
          <w:sz w:val="16"/>
          <w:szCs w:val="16"/>
        </w:rPr>
        <w:t>have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no liability (including </w:t>
      </w:r>
      <w:r>
        <w:rPr>
          <w:rFonts w:ascii="HelveticaNeueLTStd-Lt" w:hAnsi="HelveticaNeueLTStd-Lt" w:cs="HelveticaNeueLTStd-Lt"/>
          <w:sz w:val="16"/>
          <w:szCs w:val="16"/>
        </w:rPr>
        <w:t>for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negligence) to any users of the information contained in this publication</w:t>
      </w:r>
      <w:r>
        <w:rPr>
          <w:rFonts w:ascii="HelveticaNeueLTStd-Lt" w:hAnsi="HelveticaNeueLTStd-Lt" w:cs="HelveticaNeueLTStd-Lt"/>
          <w:sz w:val="16"/>
          <w:szCs w:val="16"/>
        </w:rPr>
        <w:t>.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</w:t>
      </w:r>
    </w:p>
    <w:p w14:paraId="07076845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</w:p>
    <w:p w14:paraId="4237CC40" w14:textId="29F372B4" w:rsidR="00A263DB" w:rsidRDefault="00A263DB" w:rsidP="00A263DB">
      <w:pPr>
        <w:spacing w:after="0" w:line="240" w:lineRule="auto"/>
        <w:rPr>
          <w:rFonts w:ascii="HelveticaNeueLTStd-Lt" w:hAnsi="HelveticaNeueLTStd-Lt" w:cs="HelveticaNeueLTStd-Lt"/>
          <w:sz w:val="16"/>
          <w:szCs w:val="16"/>
          <w:highlight w:val="yellow"/>
        </w:rPr>
      </w:pPr>
      <w:r w:rsidRPr="00B60163">
        <w:rPr>
          <w:rFonts w:ascii="HelveticaNeueLTStd-Lt" w:hAnsi="HelveticaNeueLTStd-Lt" w:cs="HelveticaNeueLTStd-Lt"/>
          <w:sz w:val="16"/>
          <w:szCs w:val="16"/>
        </w:rPr>
        <w:t xml:space="preserve">© The Royal Australian College of General </w:t>
      </w:r>
      <w:r w:rsidRPr="00B526A4">
        <w:rPr>
          <w:rFonts w:ascii="HelveticaNeueLTStd-Lt" w:hAnsi="HelveticaNeueLTStd-Lt" w:cs="HelveticaNeueLTStd-Lt"/>
          <w:sz w:val="16"/>
          <w:szCs w:val="16"/>
        </w:rPr>
        <w:t>Practitioners [</w:t>
      </w:r>
      <w:r w:rsidR="00FC2FEB">
        <w:rPr>
          <w:rFonts w:ascii="HelveticaNeueLTStd-Lt" w:hAnsi="HelveticaNeueLTStd-Lt" w:cs="HelveticaNeueLTStd-Lt"/>
          <w:sz w:val="16"/>
          <w:szCs w:val="16"/>
        </w:rPr>
        <w:t>2012</w:t>
      </w:r>
      <w:r w:rsidRPr="00B526A4">
        <w:rPr>
          <w:rFonts w:ascii="HelveticaNeueLTStd-Lt" w:hAnsi="HelveticaNeueLTStd-Lt" w:cs="HelveticaNeueLTStd-Lt"/>
          <w:sz w:val="16"/>
          <w:szCs w:val="16"/>
        </w:rPr>
        <w:t>]</w:t>
      </w:r>
    </w:p>
    <w:p w14:paraId="71A37B07" w14:textId="77777777" w:rsidR="00A263DB" w:rsidRPr="000871B9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7B3BC32" w14:textId="77777777" w:rsidR="00A263DB" w:rsidRDefault="00CC6E40" w:rsidP="00A263DB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A263DB" w:rsidRPr="000871B9">
          <w:rPr>
            <w:rFonts w:cs="Arial"/>
            <w:sz w:val="16"/>
            <w:szCs w:val="16"/>
          </w:rPr>
          <w:t>This</w:t>
        </w:r>
      </w:hyperlink>
      <w:r w:rsidR="00A263DB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A263DB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A263DB">
        <w:rPr>
          <w:rFonts w:cs="Arial"/>
          <w:sz w:val="16"/>
          <w:szCs w:val="16"/>
        </w:rPr>
        <w:t xml:space="preserve"> </w:t>
      </w:r>
    </w:p>
    <w:p w14:paraId="35479F5C" w14:textId="77777777" w:rsidR="00A263DB" w:rsidRDefault="00A263DB" w:rsidP="00A263D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</w:p>
    <w:p w14:paraId="17B9540E" w14:textId="77777777" w:rsidR="00A263DB" w:rsidRPr="0002280E" w:rsidRDefault="00A263DB" w:rsidP="00A263D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0217EB94" w14:textId="77777777" w:rsidR="008D4274" w:rsidRPr="000C0857" w:rsidRDefault="008D4274" w:rsidP="000C0857">
      <w:pPr>
        <w:rPr>
          <w:rFonts w:cs="Arial"/>
          <w:color w:val="000000" w:themeColor="text1"/>
          <w:szCs w:val="20"/>
        </w:rPr>
      </w:pPr>
    </w:p>
    <w:sectPr w:rsidR="008D4274" w:rsidRPr="000C0857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72D9A8C7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CC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5C"/>
    <w:multiLevelType w:val="hybridMultilevel"/>
    <w:tmpl w:val="6DA0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D83"/>
    <w:multiLevelType w:val="hybridMultilevel"/>
    <w:tmpl w:val="B608E3B0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689D"/>
    <w:multiLevelType w:val="hybridMultilevel"/>
    <w:tmpl w:val="5D90F50A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0CD"/>
    <w:multiLevelType w:val="hybridMultilevel"/>
    <w:tmpl w:val="63341CDE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F3F24"/>
    <w:multiLevelType w:val="hybridMultilevel"/>
    <w:tmpl w:val="2C52CB54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26547"/>
    <w:multiLevelType w:val="hybridMultilevel"/>
    <w:tmpl w:val="DC9AC322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C18E5"/>
    <w:multiLevelType w:val="hybridMultilevel"/>
    <w:tmpl w:val="0A4A04EC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8CD"/>
    <w:multiLevelType w:val="hybridMultilevel"/>
    <w:tmpl w:val="F96EAA88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07911"/>
    <w:multiLevelType w:val="hybridMultilevel"/>
    <w:tmpl w:val="B23A0D22"/>
    <w:lvl w:ilvl="0" w:tplc="46801DB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0980"/>
    <w:multiLevelType w:val="hybridMultilevel"/>
    <w:tmpl w:val="1F161718"/>
    <w:lvl w:ilvl="0" w:tplc="46801D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A1D9D"/>
    <w:multiLevelType w:val="hybridMultilevel"/>
    <w:tmpl w:val="8F86900C"/>
    <w:lvl w:ilvl="0" w:tplc="46801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7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C0857"/>
    <w:rsid w:val="00120180"/>
    <w:rsid w:val="001D0673"/>
    <w:rsid w:val="002A029B"/>
    <w:rsid w:val="003736FB"/>
    <w:rsid w:val="00463B1B"/>
    <w:rsid w:val="00465E70"/>
    <w:rsid w:val="005B4B71"/>
    <w:rsid w:val="006D1284"/>
    <w:rsid w:val="0071358B"/>
    <w:rsid w:val="00834364"/>
    <w:rsid w:val="008C7DFE"/>
    <w:rsid w:val="008D4274"/>
    <w:rsid w:val="00A263DB"/>
    <w:rsid w:val="00B526A4"/>
    <w:rsid w:val="00CC6E40"/>
    <w:rsid w:val="00E31575"/>
    <w:rsid w:val="00ED4BE5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A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75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75"/>
    <w:rPr>
      <w:rFonts w:ascii="Arial" w:hAnsi="Arial"/>
      <w:b/>
      <w:bCs/>
      <w:color w:val="282828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2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FSDEDEV/media/documents/Running%20a%20practice/Practice%20resources/Employee-gui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2019-06-03T21:40:00Z</dcterms:created>
  <dcterms:modified xsi:type="dcterms:W3CDTF">2019-06-03T21:40:00Z</dcterms:modified>
</cp:coreProperties>
</file>