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8377" w14:textId="4354C9F8" w:rsidR="000C0857" w:rsidRPr="00C8342F" w:rsidRDefault="009A651E" w:rsidP="00C8342F">
      <w:pPr>
        <w:rPr>
          <w:rFonts w:ascii="Georgia" w:hAnsi="Georgia" w:cs="Adobe Devanagari"/>
          <w:color w:val="000000" w:themeColor="text1"/>
          <w:sz w:val="32"/>
          <w:szCs w:val="32"/>
        </w:rPr>
      </w:pPr>
      <w:bookmarkStart w:id="0" w:name="_GoBack"/>
      <w:bookmarkEnd w:id="0"/>
      <w:r w:rsidRPr="00C8342F">
        <w:rPr>
          <w:rFonts w:ascii="Georgia" w:hAnsi="Georgia" w:cs="Adobe Devanagari"/>
          <w:i/>
          <w:color w:val="000000" w:themeColor="text1"/>
          <w:sz w:val="32"/>
          <w:szCs w:val="32"/>
        </w:rPr>
        <w:t>Closing a medical practice checklist</w:t>
      </w:r>
    </w:p>
    <w:p w14:paraId="68AAD35B" w14:textId="3DA30B19" w:rsidR="00062BE7" w:rsidRDefault="009A651E" w:rsidP="009A651E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This checklist contains tasks that must or should be performed when a practice is closing.  </w:t>
      </w:r>
      <w:r w:rsidRPr="009A651E">
        <w:rPr>
          <w:rFonts w:cs="Arial"/>
          <w:color w:val="000000" w:themeColor="text1"/>
          <w:szCs w:val="20"/>
        </w:rPr>
        <w:t>This checklist is provided as a guide only and does not describe the complete list</w:t>
      </w:r>
      <w:r>
        <w:rPr>
          <w:rFonts w:cs="Arial"/>
          <w:color w:val="000000" w:themeColor="text1"/>
          <w:szCs w:val="20"/>
        </w:rPr>
        <w:t xml:space="preserve"> </w:t>
      </w:r>
      <w:r w:rsidRPr="009A651E">
        <w:rPr>
          <w:rFonts w:cs="Arial"/>
          <w:color w:val="000000" w:themeColor="text1"/>
          <w:szCs w:val="20"/>
        </w:rPr>
        <w:t>of closing activities and legislative requirements. It is important for practices to seek</w:t>
      </w:r>
      <w:r>
        <w:rPr>
          <w:rFonts w:cs="Arial"/>
          <w:color w:val="000000" w:themeColor="text1"/>
          <w:szCs w:val="20"/>
        </w:rPr>
        <w:t xml:space="preserve"> </w:t>
      </w:r>
      <w:r w:rsidRPr="009A651E">
        <w:rPr>
          <w:rFonts w:cs="Arial"/>
          <w:color w:val="000000" w:themeColor="text1"/>
          <w:szCs w:val="20"/>
        </w:rPr>
        <w:t>advice from professional legal and accountancy services, regulatory bodies and local</w:t>
      </w:r>
      <w:r>
        <w:rPr>
          <w:rFonts w:cs="Arial"/>
          <w:color w:val="000000" w:themeColor="text1"/>
          <w:szCs w:val="20"/>
        </w:rPr>
        <w:t xml:space="preserve"> </w:t>
      </w:r>
      <w:r w:rsidRPr="009A651E">
        <w:rPr>
          <w:rFonts w:cs="Arial"/>
          <w:color w:val="000000" w:themeColor="text1"/>
          <w:szCs w:val="20"/>
        </w:rPr>
        <w:t>authorities when closing a medical practice.</w:t>
      </w:r>
    </w:p>
    <w:p w14:paraId="152CF98E" w14:textId="4E31FB25" w:rsidR="008D4274" w:rsidRPr="00A362C3" w:rsidRDefault="008D4274" w:rsidP="000C0857">
      <w:pPr>
        <w:rPr>
          <w:rFonts w:cs="Arial"/>
          <w:color w:val="auto"/>
          <w:szCs w:val="20"/>
        </w:rPr>
      </w:pPr>
      <w:r>
        <w:rPr>
          <w:rFonts w:cs="Arial"/>
          <w:color w:val="000000" w:themeColor="text1"/>
          <w:szCs w:val="20"/>
        </w:rPr>
        <w:t>For more informat</w:t>
      </w:r>
      <w:r w:rsidR="00DA0745">
        <w:rPr>
          <w:rFonts w:cs="Arial"/>
          <w:color w:val="000000" w:themeColor="text1"/>
          <w:szCs w:val="20"/>
        </w:rPr>
        <w:t xml:space="preserve">ion, please refer to the RACGPs </w:t>
      </w:r>
      <w:hyperlink r:id="rId7" w:history="1">
        <w:r w:rsidR="00A362C3" w:rsidRPr="00A362C3">
          <w:rPr>
            <w:rStyle w:val="Hyperlink"/>
            <w:rFonts w:cs="Arial"/>
            <w:i/>
            <w:szCs w:val="20"/>
          </w:rPr>
          <w:t>General practice management toolkit: Closing a medical practice</w:t>
        </w:r>
      </w:hyperlink>
      <w:r w:rsidR="00A362C3">
        <w:rPr>
          <w:rFonts w:cs="Arial"/>
          <w:color w:val="auto"/>
          <w:szCs w:val="20"/>
        </w:rPr>
        <w:t xml:space="preserve"> for more information. 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1707"/>
        <w:gridCol w:w="5851"/>
        <w:gridCol w:w="1630"/>
      </w:tblGrid>
      <w:tr w:rsidR="00DA0745" w14:paraId="68E3D19C" w14:textId="77777777" w:rsidTr="002E6B51">
        <w:trPr>
          <w:trHeight w:val="517"/>
        </w:trPr>
        <w:tc>
          <w:tcPr>
            <w:tcW w:w="9188" w:type="dxa"/>
            <w:gridSpan w:val="3"/>
            <w:shd w:val="clear" w:color="auto" w:fill="2E74B5" w:themeFill="accent1" w:themeFillShade="BF"/>
          </w:tcPr>
          <w:p w14:paraId="3567C455" w14:textId="24A84483" w:rsidR="00DA0745" w:rsidRPr="00C8342F" w:rsidRDefault="00DA0745" w:rsidP="002A029B">
            <w:pPr>
              <w:spacing w:before="24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342F">
              <w:rPr>
                <w:rFonts w:cs="Arial"/>
                <w:b/>
                <w:color w:val="FFFFFF" w:themeColor="background1"/>
                <w:sz w:val="18"/>
                <w:szCs w:val="18"/>
              </w:rPr>
              <w:t>Closing a medical practice checklist</w:t>
            </w:r>
          </w:p>
        </w:tc>
      </w:tr>
      <w:tr w:rsidR="00DA0745" w14:paraId="777577B1" w14:textId="77777777" w:rsidTr="002E6B51">
        <w:trPr>
          <w:trHeight w:val="517"/>
        </w:trPr>
        <w:tc>
          <w:tcPr>
            <w:tcW w:w="1707" w:type="dxa"/>
            <w:shd w:val="clear" w:color="auto" w:fill="9CC2E5" w:themeFill="accent1" w:themeFillTint="99"/>
          </w:tcPr>
          <w:p w14:paraId="053D6635" w14:textId="29DC3ABA" w:rsidR="00DA0745" w:rsidRPr="00C8342F" w:rsidRDefault="00DA0745" w:rsidP="00DA0745">
            <w:pPr>
              <w:spacing w:before="24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342F">
              <w:rPr>
                <w:rFonts w:cs="Arial"/>
                <w:b/>
                <w:color w:val="FFFFFF" w:themeColor="background1"/>
                <w:sz w:val="18"/>
                <w:szCs w:val="18"/>
              </w:rPr>
              <w:t>Category</w:t>
            </w:r>
          </w:p>
        </w:tc>
        <w:tc>
          <w:tcPr>
            <w:tcW w:w="5851" w:type="dxa"/>
            <w:shd w:val="clear" w:color="auto" w:fill="9CC2E5" w:themeFill="accent1" w:themeFillTint="99"/>
          </w:tcPr>
          <w:p w14:paraId="1F86ADF0" w14:textId="2074E71C" w:rsidR="00DA0745" w:rsidRPr="00C8342F" w:rsidRDefault="00DA0745" w:rsidP="002A029B">
            <w:pPr>
              <w:spacing w:before="24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342F">
              <w:rPr>
                <w:rFonts w:cs="Arial"/>
                <w:b/>
                <w:color w:val="FFFFFF" w:themeColor="background1"/>
                <w:sz w:val="18"/>
                <w:szCs w:val="18"/>
              </w:rPr>
              <w:t>Tasks</w:t>
            </w:r>
          </w:p>
        </w:tc>
        <w:tc>
          <w:tcPr>
            <w:tcW w:w="1629" w:type="dxa"/>
            <w:shd w:val="clear" w:color="auto" w:fill="9CC2E5" w:themeFill="accent1" w:themeFillTint="99"/>
          </w:tcPr>
          <w:p w14:paraId="0CCB89E3" w14:textId="045CD833" w:rsidR="00DA0745" w:rsidRPr="008D4274" w:rsidRDefault="00DA0745" w:rsidP="002A029B">
            <w:pPr>
              <w:spacing w:before="240"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Date completed</w:t>
            </w:r>
          </w:p>
        </w:tc>
      </w:tr>
      <w:tr w:rsidR="002A029B" w14:paraId="3DAA3CDD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06ED3A9F" w14:textId="38D828E2" w:rsidR="002A029B" w:rsidRPr="00C8342F" w:rsidRDefault="00DA0745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Patient health information</w:t>
            </w:r>
          </w:p>
        </w:tc>
        <w:tc>
          <w:tcPr>
            <w:tcW w:w="5851" w:type="dxa"/>
            <w:shd w:val="clear" w:color="auto" w:fill="auto"/>
          </w:tcPr>
          <w:p w14:paraId="470496CD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Inform patients of closure</w:t>
            </w:r>
          </w:p>
          <w:p w14:paraId="1619FFC1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Transfer patient health records to new practices at patients’ request</w:t>
            </w:r>
          </w:p>
          <w:p w14:paraId="7E755B50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Respond to patients’ requests for access to health information</w:t>
            </w:r>
          </w:p>
          <w:p w14:paraId="773D01D9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Arrange secure and safe storage of retained records</w:t>
            </w:r>
          </w:p>
          <w:p w14:paraId="55EE9D48" w14:textId="7A7CD059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Communicate clinically significant test results</w:t>
            </w:r>
          </w:p>
        </w:tc>
        <w:tc>
          <w:tcPr>
            <w:tcW w:w="1629" w:type="dxa"/>
            <w:shd w:val="clear" w:color="auto" w:fill="auto"/>
          </w:tcPr>
          <w:p w14:paraId="3E14C3D9" w14:textId="77777777" w:rsidR="002A029B" w:rsidRPr="008D4274" w:rsidRDefault="002A029B" w:rsidP="000C0857">
            <w:pPr>
              <w:rPr>
                <w:rFonts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2A029B" w14:paraId="1BB3178C" w14:textId="77777777" w:rsidTr="002E6B51">
        <w:trPr>
          <w:trHeight w:val="554"/>
        </w:trPr>
        <w:tc>
          <w:tcPr>
            <w:tcW w:w="1707" w:type="dxa"/>
            <w:shd w:val="clear" w:color="auto" w:fill="DEEAF6" w:themeFill="accent1" w:themeFillTint="33"/>
          </w:tcPr>
          <w:p w14:paraId="46EDCCBE" w14:textId="004C1A20" w:rsidR="002A029B" w:rsidRPr="00C8342F" w:rsidRDefault="00DA0745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Materials and equipment</w:t>
            </w:r>
          </w:p>
        </w:tc>
        <w:tc>
          <w:tcPr>
            <w:tcW w:w="5851" w:type="dxa"/>
            <w:shd w:val="clear" w:color="auto" w:fill="auto"/>
          </w:tcPr>
          <w:p w14:paraId="1B959EBE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Dispose of schedule drugs, poisons and controlled substances</w:t>
            </w:r>
          </w:p>
          <w:p w14:paraId="2BD4626D" w14:textId="109A25AA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Dispose of practice stationery, prescription paper/pads/medical certificates</w:t>
            </w:r>
          </w:p>
        </w:tc>
        <w:tc>
          <w:tcPr>
            <w:tcW w:w="1629" w:type="dxa"/>
            <w:shd w:val="clear" w:color="auto" w:fill="auto"/>
          </w:tcPr>
          <w:p w14:paraId="0DD0BB6E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7301D22F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409B0C42" w14:textId="014DB0F1" w:rsidR="002A029B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Computer and information security/IT</w:t>
            </w:r>
          </w:p>
        </w:tc>
        <w:tc>
          <w:tcPr>
            <w:tcW w:w="5851" w:type="dxa"/>
            <w:shd w:val="clear" w:color="auto" w:fill="auto"/>
          </w:tcPr>
          <w:p w14:paraId="3BE6C467" w14:textId="7F403708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Seek advice from computer security coordinator and technical service provider</w:t>
            </w:r>
          </w:p>
          <w:p w14:paraId="173214E0" w14:textId="111036E4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Disks and backup media securely erased (overwritten) or physically destroyed</w:t>
            </w:r>
          </w:p>
        </w:tc>
        <w:tc>
          <w:tcPr>
            <w:tcW w:w="1629" w:type="dxa"/>
            <w:shd w:val="clear" w:color="auto" w:fill="auto"/>
          </w:tcPr>
          <w:p w14:paraId="77578121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507F8D8E" w14:textId="77777777" w:rsidTr="002E6B51">
        <w:trPr>
          <w:trHeight w:val="1828"/>
        </w:trPr>
        <w:tc>
          <w:tcPr>
            <w:tcW w:w="1707" w:type="dxa"/>
            <w:shd w:val="clear" w:color="auto" w:fill="DEEAF6" w:themeFill="accent1" w:themeFillTint="33"/>
          </w:tcPr>
          <w:p w14:paraId="27E95760" w14:textId="4E86F81F" w:rsidR="002A029B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Insurance</w:t>
            </w:r>
          </w:p>
        </w:tc>
        <w:tc>
          <w:tcPr>
            <w:tcW w:w="5851" w:type="dxa"/>
            <w:shd w:val="clear" w:color="auto" w:fill="auto"/>
          </w:tcPr>
          <w:p w14:paraId="5FEBD773" w14:textId="40B1B8BA" w:rsidR="002E6B51" w:rsidRPr="00C8342F" w:rsidRDefault="00C8342F" w:rsidP="00C834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Contact insurance broker for advice on:</w:t>
            </w:r>
          </w:p>
          <w:p w14:paraId="7C0C241F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Medical indemnity</w:t>
            </w:r>
          </w:p>
          <w:p w14:paraId="78D2B411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Practice indemnity</w:t>
            </w:r>
          </w:p>
          <w:p w14:paraId="4652E54A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Public liability</w:t>
            </w:r>
          </w:p>
          <w:p w14:paraId="75331E1F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Building and contents</w:t>
            </w:r>
          </w:p>
          <w:p w14:paraId="45178E16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WorkCover</w:t>
            </w:r>
          </w:p>
          <w:p w14:paraId="33B2C187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Income and business</w:t>
            </w:r>
          </w:p>
          <w:p w14:paraId="3DC9D2EB" w14:textId="6BB72238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Retention and management of health records</w:t>
            </w:r>
          </w:p>
        </w:tc>
        <w:tc>
          <w:tcPr>
            <w:tcW w:w="1629" w:type="dxa"/>
            <w:shd w:val="clear" w:color="auto" w:fill="auto"/>
          </w:tcPr>
          <w:p w14:paraId="02AD616F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1321BBAB" w14:textId="77777777" w:rsidTr="002E6B51">
        <w:trPr>
          <w:trHeight w:val="701"/>
        </w:trPr>
        <w:tc>
          <w:tcPr>
            <w:tcW w:w="1707" w:type="dxa"/>
            <w:shd w:val="clear" w:color="auto" w:fill="DEEAF6" w:themeFill="accent1" w:themeFillTint="33"/>
          </w:tcPr>
          <w:p w14:paraId="48665D33" w14:textId="3CC2C9E5" w:rsidR="002A029B" w:rsidRPr="00C8342F" w:rsidRDefault="00DA0745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Employees</w:t>
            </w:r>
          </w:p>
        </w:tc>
        <w:tc>
          <w:tcPr>
            <w:tcW w:w="5851" w:type="dxa"/>
            <w:shd w:val="clear" w:color="auto" w:fill="auto"/>
          </w:tcPr>
          <w:p w14:paraId="3358F4C1" w14:textId="77777777" w:rsidR="00C8342F" w:rsidRPr="00C8342F" w:rsidRDefault="00C8342F" w:rsidP="00C834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See professional advice on:</w:t>
            </w:r>
          </w:p>
          <w:p w14:paraId="76B256C5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Payment of wages and leave</w:t>
            </w:r>
          </w:p>
          <w:p w14:paraId="1A124B7D" w14:textId="32B7A86C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Entitlements for employees</w:t>
            </w:r>
          </w:p>
        </w:tc>
        <w:tc>
          <w:tcPr>
            <w:tcW w:w="1629" w:type="dxa"/>
            <w:shd w:val="clear" w:color="auto" w:fill="auto"/>
          </w:tcPr>
          <w:p w14:paraId="4AE6CBB5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7EE3A8EB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10294B97" w14:textId="38A3443C" w:rsidR="002A029B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lastRenderedPageBreak/>
              <w:t>Taxation and business related registrations</w:t>
            </w:r>
          </w:p>
        </w:tc>
        <w:tc>
          <w:tcPr>
            <w:tcW w:w="5851" w:type="dxa"/>
            <w:shd w:val="clear" w:color="auto" w:fill="auto"/>
          </w:tcPr>
          <w:p w14:paraId="5946261B" w14:textId="77777777" w:rsidR="00C8342F" w:rsidRPr="00C8342F" w:rsidRDefault="00C8342F" w:rsidP="00C834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Seek professional advice from:</w:t>
            </w:r>
          </w:p>
          <w:p w14:paraId="7330B033" w14:textId="77777777" w:rsidR="00C8342F" w:rsidRPr="00C8342F" w:rsidRDefault="00C8342F" w:rsidP="00C834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Australian Securities Investment Commission:</w:t>
            </w:r>
          </w:p>
          <w:p w14:paraId="2DE47EED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Australian Company Number (ACN) business name</w:t>
            </w:r>
          </w:p>
          <w:p w14:paraId="31E6213E" w14:textId="77777777" w:rsidR="00C8342F" w:rsidRPr="00C8342F" w:rsidRDefault="00C8342F" w:rsidP="00C834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Australian Taxation Office:</w:t>
            </w:r>
          </w:p>
          <w:p w14:paraId="64960483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Australian Business Number (ABN)</w:t>
            </w:r>
          </w:p>
          <w:p w14:paraId="6A38103F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Goods and Services Tax (GST)</w:t>
            </w:r>
          </w:p>
          <w:p w14:paraId="03D427FE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Pay As You Go (PAYG) withholding</w:t>
            </w:r>
          </w:p>
          <w:p w14:paraId="7D0EEC59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Tax File Number (TFN)</w:t>
            </w:r>
          </w:p>
          <w:p w14:paraId="408E1190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Fuel tax credits</w:t>
            </w:r>
          </w:p>
          <w:p w14:paraId="25448546" w14:textId="77777777" w:rsidR="00C8342F" w:rsidRPr="00C8342F" w:rsidRDefault="00C8342F" w:rsidP="00C834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Australian Domain Name Administrator:</w:t>
            </w:r>
          </w:p>
          <w:p w14:paraId="50B99E9A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Domain name</w:t>
            </w:r>
          </w:p>
          <w:p w14:paraId="7C06616B" w14:textId="77777777" w:rsidR="00C8342F" w:rsidRPr="00C8342F" w:rsidRDefault="00C8342F" w:rsidP="00C834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State or territory revenue office:</w:t>
            </w:r>
          </w:p>
          <w:p w14:paraId="1B45A9BD" w14:textId="7DD7C7C9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Payroll tax</w:t>
            </w:r>
          </w:p>
        </w:tc>
        <w:tc>
          <w:tcPr>
            <w:tcW w:w="1629" w:type="dxa"/>
            <w:shd w:val="clear" w:color="auto" w:fill="auto"/>
          </w:tcPr>
          <w:p w14:paraId="5A8D6EE2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5402337D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7ED430E2" w14:textId="36C07B04" w:rsidR="002A029B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Business banking arrangements</w:t>
            </w:r>
          </w:p>
        </w:tc>
        <w:tc>
          <w:tcPr>
            <w:tcW w:w="5851" w:type="dxa"/>
            <w:shd w:val="clear" w:color="auto" w:fill="auto"/>
          </w:tcPr>
          <w:p w14:paraId="646729D1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Business banking arrangements concluded and accounts closed</w:t>
            </w:r>
          </w:p>
          <w:p w14:paraId="2D645580" w14:textId="64BC152F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EFTPOS machines returned</w:t>
            </w:r>
          </w:p>
        </w:tc>
        <w:tc>
          <w:tcPr>
            <w:tcW w:w="1629" w:type="dxa"/>
            <w:shd w:val="clear" w:color="auto" w:fill="auto"/>
          </w:tcPr>
          <w:p w14:paraId="7D30CBAA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4D78DE39" w14:textId="77777777" w:rsidTr="002E6B51">
        <w:trPr>
          <w:trHeight w:val="573"/>
        </w:trPr>
        <w:tc>
          <w:tcPr>
            <w:tcW w:w="1707" w:type="dxa"/>
            <w:shd w:val="clear" w:color="auto" w:fill="DEEAF6" w:themeFill="accent1" w:themeFillTint="33"/>
          </w:tcPr>
          <w:p w14:paraId="6F747F8D" w14:textId="24928AFE" w:rsidR="002A029B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Practice accounts</w:t>
            </w:r>
          </w:p>
        </w:tc>
        <w:tc>
          <w:tcPr>
            <w:tcW w:w="5851" w:type="dxa"/>
            <w:shd w:val="clear" w:color="auto" w:fill="auto"/>
          </w:tcPr>
          <w:p w14:paraId="634E31FE" w14:textId="5BC7E8C9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Finalise practice accounts</w:t>
            </w:r>
          </w:p>
        </w:tc>
        <w:tc>
          <w:tcPr>
            <w:tcW w:w="1629" w:type="dxa"/>
            <w:shd w:val="clear" w:color="auto" w:fill="auto"/>
          </w:tcPr>
          <w:p w14:paraId="49E0BB29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3A4DE2D9" w14:textId="77777777" w:rsidTr="002E6B51">
        <w:trPr>
          <w:trHeight w:val="573"/>
        </w:trPr>
        <w:tc>
          <w:tcPr>
            <w:tcW w:w="1707" w:type="dxa"/>
            <w:shd w:val="clear" w:color="auto" w:fill="DEEAF6" w:themeFill="accent1" w:themeFillTint="33"/>
          </w:tcPr>
          <w:p w14:paraId="66ED1782" w14:textId="2CC7B009" w:rsidR="002A029B" w:rsidRPr="00C8342F" w:rsidRDefault="00DA0745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Financial records</w:t>
            </w:r>
          </w:p>
        </w:tc>
        <w:tc>
          <w:tcPr>
            <w:tcW w:w="5851" w:type="dxa"/>
            <w:shd w:val="clear" w:color="auto" w:fill="auto"/>
          </w:tcPr>
          <w:p w14:paraId="30ABB310" w14:textId="1B6A0D49" w:rsidR="002A029B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Seek advice on retaining business records</w:t>
            </w:r>
          </w:p>
        </w:tc>
        <w:tc>
          <w:tcPr>
            <w:tcW w:w="1629" w:type="dxa"/>
            <w:shd w:val="clear" w:color="auto" w:fill="auto"/>
          </w:tcPr>
          <w:p w14:paraId="460148AD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DA0745" w14:paraId="22C35311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1C4C8D35" w14:textId="3A56F90E" w:rsidR="00DA0745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Regulatory bodies and local authorities</w:t>
            </w:r>
          </w:p>
        </w:tc>
        <w:tc>
          <w:tcPr>
            <w:tcW w:w="5851" w:type="dxa"/>
          </w:tcPr>
          <w:p w14:paraId="0D229263" w14:textId="77777777" w:rsidR="00C8342F" w:rsidRPr="00C8342F" w:rsidRDefault="00C8342F" w:rsidP="00C834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Advise regulatory bodies and local authorities:</w:t>
            </w:r>
          </w:p>
          <w:p w14:paraId="02569924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Medical Board of Australia</w:t>
            </w:r>
          </w:p>
          <w:p w14:paraId="4F3D9DE5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Medicare Australia</w:t>
            </w:r>
          </w:p>
          <w:p w14:paraId="09DF2D4B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State or territory health department</w:t>
            </w:r>
          </w:p>
          <w:p w14:paraId="51D94B38" w14:textId="36650A10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 xml:space="preserve">Local division of general practice (or </w:t>
            </w:r>
            <w:r w:rsidR="002E6B51">
              <w:rPr>
                <w:rFonts w:cs="Arial"/>
                <w:color w:val="auto"/>
                <w:sz w:val="18"/>
                <w:szCs w:val="18"/>
              </w:rPr>
              <w:t>PHN</w:t>
            </w:r>
            <w:r w:rsidRPr="00C8342F">
              <w:rPr>
                <w:rFonts w:cs="Arial"/>
                <w:color w:val="auto"/>
                <w:sz w:val="18"/>
                <w:szCs w:val="18"/>
              </w:rPr>
              <w:t>)</w:t>
            </w:r>
          </w:p>
          <w:p w14:paraId="18278D4C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Local hospitals</w:t>
            </w:r>
          </w:p>
          <w:p w14:paraId="406449F1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Neighbouring GPs and practices</w:t>
            </w:r>
          </w:p>
          <w:p w14:paraId="38FB02BB" w14:textId="62757844" w:rsidR="00DA0745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Specialists</w:t>
            </w:r>
          </w:p>
        </w:tc>
        <w:tc>
          <w:tcPr>
            <w:tcW w:w="1629" w:type="dxa"/>
          </w:tcPr>
          <w:p w14:paraId="738725D5" w14:textId="3C6CE787" w:rsidR="00DA0745" w:rsidRPr="002A029B" w:rsidRDefault="00DA0745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DA0745" w14:paraId="61707C03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14C9E1F5" w14:textId="221FDB29" w:rsidR="00DA0745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Utilities</w:t>
            </w:r>
          </w:p>
        </w:tc>
        <w:tc>
          <w:tcPr>
            <w:tcW w:w="5851" w:type="dxa"/>
          </w:tcPr>
          <w:p w14:paraId="19D48670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Telephone and internet services</w:t>
            </w:r>
          </w:p>
          <w:p w14:paraId="09363E19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Essential services (water, electricity, gas connections)</w:t>
            </w:r>
          </w:p>
          <w:p w14:paraId="1FEE2C94" w14:textId="00F8FC88" w:rsidR="00DA0745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Mail</w:t>
            </w:r>
          </w:p>
        </w:tc>
        <w:tc>
          <w:tcPr>
            <w:tcW w:w="1629" w:type="dxa"/>
          </w:tcPr>
          <w:p w14:paraId="0F30E291" w14:textId="77777777" w:rsidR="00DA0745" w:rsidRPr="002A029B" w:rsidRDefault="00DA0745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DA0745" w14:paraId="143362FE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500F6FE6" w14:textId="2419A318" w:rsidR="00DA0745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Subscriptions and memberships</w:t>
            </w:r>
          </w:p>
        </w:tc>
        <w:tc>
          <w:tcPr>
            <w:tcW w:w="5851" w:type="dxa"/>
          </w:tcPr>
          <w:p w14:paraId="69365348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Industry journal</w:t>
            </w:r>
          </w:p>
          <w:p w14:paraId="6425E2E5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Magazines and newspapers</w:t>
            </w:r>
          </w:p>
          <w:p w14:paraId="7B449D33" w14:textId="1213F6CB" w:rsidR="00DA0745" w:rsidRPr="00C8342F" w:rsidRDefault="002E6B51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Professional or other m</w:t>
            </w:r>
            <w:r w:rsidR="00C8342F" w:rsidRPr="00C8342F">
              <w:rPr>
                <w:rFonts w:cs="Arial"/>
                <w:color w:val="auto"/>
                <w:sz w:val="18"/>
                <w:szCs w:val="18"/>
              </w:rPr>
              <w:t>embership</w:t>
            </w:r>
            <w:r>
              <w:rPr>
                <w:rFonts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1629" w:type="dxa"/>
          </w:tcPr>
          <w:p w14:paraId="124FA32B" w14:textId="77777777" w:rsidR="00DA0745" w:rsidRPr="002A029B" w:rsidRDefault="00DA0745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DA0745" w14:paraId="266B58F0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798129E1" w14:textId="5294CEA3" w:rsidR="00DA0745" w:rsidRPr="00C8342F" w:rsidRDefault="00DA0745" w:rsidP="000C0857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b/>
                <w:color w:val="auto"/>
                <w:sz w:val="18"/>
                <w:szCs w:val="18"/>
              </w:rPr>
              <w:t>Security</w:t>
            </w:r>
          </w:p>
        </w:tc>
        <w:tc>
          <w:tcPr>
            <w:tcW w:w="5851" w:type="dxa"/>
          </w:tcPr>
          <w:p w14:paraId="0AE959CA" w14:textId="77777777" w:rsidR="00C8342F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Staff ID cards, keys and security items</w:t>
            </w:r>
          </w:p>
          <w:p w14:paraId="6B3085B6" w14:textId="352645FE" w:rsidR="00DA0745" w:rsidRPr="00C8342F" w:rsidRDefault="00C8342F" w:rsidP="00C8342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C8342F">
              <w:rPr>
                <w:rFonts w:cs="Arial"/>
                <w:color w:val="auto"/>
                <w:sz w:val="18"/>
                <w:szCs w:val="18"/>
              </w:rPr>
              <w:t>Practice alarm system</w:t>
            </w:r>
          </w:p>
        </w:tc>
        <w:tc>
          <w:tcPr>
            <w:tcW w:w="1629" w:type="dxa"/>
          </w:tcPr>
          <w:p w14:paraId="3F868364" w14:textId="77777777" w:rsidR="00DA0745" w:rsidRPr="002A029B" w:rsidRDefault="00DA0745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DA0745" w14:paraId="0F65A2F0" w14:textId="77777777" w:rsidTr="002E6B51">
        <w:trPr>
          <w:trHeight w:val="896"/>
        </w:trPr>
        <w:tc>
          <w:tcPr>
            <w:tcW w:w="1707" w:type="dxa"/>
            <w:shd w:val="clear" w:color="auto" w:fill="DEEAF6" w:themeFill="accent1" w:themeFillTint="33"/>
          </w:tcPr>
          <w:p w14:paraId="59DD61C1" w14:textId="6AEF0395" w:rsidR="00DA0745" w:rsidRPr="00C8342F" w:rsidRDefault="00DA0745" w:rsidP="000C0857">
            <w:pPr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C8342F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Other</w:t>
            </w:r>
          </w:p>
        </w:tc>
        <w:tc>
          <w:tcPr>
            <w:tcW w:w="5851" w:type="dxa"/>
          </w:tcPr>
          <w:p w14:paraId="1CFC20C7" w14:textId="77777777" w:rsidR="00DA0745" w:rsidRPr="00C8342F" w:rsidRDefault="00DA0745" w:rsidP="00C8342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F8228D8" w14:textId="77777777" w:rsidR="00DA0745" w:rsidRPr="002A029B" w:rsidRDefault="00DA0745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</w:tbl>
    <w:p w14:paraId="2B1D620F" w14:textId="77777777" w:rsidR="002A029B" w:rsidRDefault="002A029B" w:rsidP="000C0857">
      <w:pPr>
        <w:rPr>
          <w:rFonts w:cs="Arial"/>
          <w:color w:val="000000" w:themeColor="text1"/>
          <w:szCs w:val="20"/>
        </w:rPr>
      </w:pPr>
    </w:p>
    <w:p w14:paraId="3E92AC28" w14:textId="77777777" w:rsidR="008D4274" w:rsidRDefault="008D4274" w:rsidP="000C0857">
      <w:pPr>
        <w:rPr>
          <w:rFonts w:cs="Arial"/>
          <w:color w:val="000000" w:themeColor="text1"/>
          <w:szCs w:val="20"/>
        </w:rPr>
      </w:pPr>
    </w:p>
    <w:p w14:paraId="557A6D5D" w14:textId="77777777" w:rsidR="002E6B51" w:rsidRDefault="002E6B51" w:rsidP="008D4274">
      <w:pPr>
        <w:rPr>
          <w:rFonts w:cs="Arial"/>
          <w:color w:val="2E74B5" w:themeColor="accent1" w:themeShade="BF"/>
          <w:sz w:val="28"/>
          <w:szCs w:val="28"/>
          <w:lang w:val="en-GB"/>
        </w:rPr>
      </w:pPr>
    </w:p>
    <w:p w14:paraId="516AECFD" w14:textId="77777777" w:rsidR="003D783F" w:rsidRDefault="003D783F" w:rsidP="003D78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64D5B13A" w14:textId="77777777" w:rsidR="003D783F" w:rsidRPr="0002280E" w:rsidRDefault="003D783F" w:rsidP="003D78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2280E">
        <w:rPr>
          <w:rFonts w:cs="Arial"/>
          <w:color w:val="000000"/>
          <w:sz w:val="18"/>
          <w:szCs w:val="18"/>
        </w:rPr>
        <w:t>Disclaimer</w:t>
      </w:r>
    </w:p>
    <w:p w14:paraId="74FCF295" w14:textId="77777777" w:rsidR="003D783F" w:rsidRPr="0002280E" w:rsidRDefault="003D783F" w:rsidP="003D78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26F32947" w14:textId="77777777" w:rsidR="003D783F" w:rsidRPr="0002280E" w:rsidRDefault="003D783F" w:rsidP="003D783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5983590A" w14:textId="77777777" w:rsidR="003D783F" w:rsidRPr="0002280E" w:rsidRDefault="003D783F" w:rsidP="003D783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EFBC314" w14:textId="3887C3D3" w:rsidR="003D783F" w:rsidRPr="0002280E" w:rsidRDefault="003D783F" w:rsidP="003D783F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Pr="0021159D">
        <w:rPr>
          <w:rFonts w:cs="Arial"/>
          <w:sz w:val="16"/>
          <w:szCs w:val="16"/>
        </w:rPr>
        <w:t>[</w:t>
      </w:r>
      <w:r w:rsidR="009B7D1E">
        <w:rPr>
          <w:rFonts w:cs="Arial"/>
          <w:sz w:val="16"/>
          <w:szCs w:val="16"/>
        </w:rPr>
        <w:t>2012</w:t>
      </w:r>
      <w:r w:rsidRPr="0021159D">
        <w:rPr>
          <w:rFonts w:cs="Arial"/>
          <w:sz w:val="16"/>
          <w:szCs w:val="16"/>
        </w:rPr>
        <w:t>]</w:t>
      </w:r>
    </w:p>
    <w:p w14:paraId="3B77A611" w14:textId="77777777" w:rsidR="003D783F" w:rsidRPr="0002280E" w:rsidRDefault="003D783F" w:rsidP="003D783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782A9ECF" w14:textId="77777777" w:rsidR="003D783F" w:rsidRDefault="00BD22A9" w:rsidP="003D783F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3D783F" w:rsidRPr="000871B9">
          <w:rPr>
            <w:rFonts w:cs="Arial"/>
            <w:sz w:val="16"/>
            <w:szCs w:val="16"/>
          </w:rPr>
          <w:t>This</w:t>
        </w:r>
      </w:hyperlink>
      <w:r w:rsidR="003D783F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="003D783F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3D783F">
        <w:rPr>
          <w:rFonts w:cs="Arial"/>
          <w:sz w:val="16"/>
          <w:szCs w:val="16"/>
        </w:rPr>
        <w:t xml:space="preserve"> </w:t>
      </w:r>
    </w:p>
    <w:p w14:paraId="161B53BA" w14:textId="77777777" w:rsidR="003D783F" w:rsidRDefault="003D783F" w:rsidP="003D783F">
      <w:pPr>
        <w:spacing w:after="0" w:line="240" w:lineRule="auto"/>
        <w:rPr>
          <w:rFonts w:cs="Arial"/>
          <w:sz w:val="16"/>
          <w:szCs w:val="16"/>
        </w:rPr>
      </w:pPr>
    </w:p>
    <w:p w14:paraId="3167C908" w14:textId="77777777" w:rsidR="003D783F" w:rsidRPr="0002280E" w:rsidRDefault="003D783F" w:rsidP="003D783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0217EB94" w14:textId="77777777" w:rsidR="008D4274" w:rsidRPr="000C0857" w:rsidRDefault="008D4274" w:rsidP="000C0857">
      <w:pPr>
        <w:rPr>
          <w:rFonts w:cs="Arial"/>
          <w:color w:val="000000" w:themeColor="text1"/>
          <w:szCs w:val="20"/>
        </w:rPr>
      </w:pPr>
    </w:p>
    <w:sectPr w:rsidR="008D4274" w:rsidRPr="000C0857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43161C31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BD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5C"/>
    <w:multiLevelType w:val="hybridMultilevel"/>
    <w:tmpl w:val="6DA0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D83"/>
    <w:multiLevelType w:val="hybridMultilevel"/>
    <w:tmpl w:val="B608E3B0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689D"/>
    <w:multiLevelType w:val="hybridMultilevel"/>
    <w:tmpl w:val="5D90F50A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181B"/>
    <w:multiLevelType w:val="hybridMultilevel"/>
    <w:tmpl w:val="7D78D2F4"/>
    <w:lvl w:ilvl="0" w:tplc="A3C8C8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47AB"/>
    <w:multiLevelType w:val="hybridMultilevel"/>
    <w:tmpl w:val="4CA6087C"/>
    <w:lvl w:ilvl="0" w:tplc="A3C8C8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70CD"/>
    <w:multiLevelType w:val="hybridMultilevel"/>
    <w:tmpl w:val="63341CDE"/>
    <w:lvl w:ilvl="0" w:tplc="46801D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F3F24"/>
    <w:multiLevelType w:val="hybridMultilevel"/>
    <w:tmpl w:val="2C52CB54"/>
    <w:lvl w:ilvl="0" w:tplc="46801D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26547"/>
    <w:multiLevelType w:val="hybridMultilevel"/>
    <w:tmpl w:val="DC9AC322"/>
    <w:lvl w:ilvl="0" w:tplc="46801D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83820"/>
    <w:multiLevelType w:val="hybridMultilevel"/>
    <w:tmpl w:val="E9F87CD2"/>
    <w:lvl w:ilvl="0" w:tplc="A3C8C8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C18E5"/>
    <w:multiLevelType w:val="hybridMultilevel"/>
    <w:tmpl w:val="0A4A04EC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628CD"/>
    <w:multiLevelType w:val="hybridMultilevel"/>
    <w:tmpl w:val="F96EAA88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07911"/>
    <w:multiLevelType w:val="hybridMultilevel"/>
    <w:tmpl w:val="B23A0D22"/>
    <w:lvl w:ilvl="0" w:tplc="46801DB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0980"/>
    <w:multiLevelType w:val="hybridMultilevel"/>
    <w:tmpl w:val="1F161718"/>
    <w:lvl w:ilvl="0" w:tplc="46801D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A1D9D"/>
    <w:multiLevelType w:val="hybridMultilevel"/>
    <w:tmpl w:val="8F86900C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11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7"/>
  </w:num>
  <w:num w:numId="22">
    <w:abstractNumId w:val="5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C0857"/>
    <w:rsid w:val="00120180"/>
    <w:rsid w:val="001D0673"/>
    <w:rsid w:val="0021159D"/>
    <w:rsid w:val="002A029B"/>
    <w:rsid w:val="002E6B51"/>
    <w:rsid w:val="003736FB"/>
    <w:rsid w:val="003D783F"/>
    <w:rsid w:val="00463B1B"/>
    <w:rsid w:val="00465E70"/>
    <w:rsid w:val="005B4B71"/>
    <w:rsid w:val="006D1284"/>
    <w:rsid w:val="0071358B"/>
    <w:rsid w:val="00766323"/>
    <w:rsid w:val="00834364"/>
    <w:rsid w:val="008C7DFE"/>
    <w:rsid w:val="008D4274"/>
    <w:rsid w:val="009A651E"/>
    <w:rsid w:val="009B7D1E"/>
    <w:rsid w:val="00A362C3"/>
    <w:rsid w:val="00B334CE"/>
    <w:rsid w:val="00BD22A9"/>
    <w:rsid w:val="00C8342F"/>
    <w:rsid w:val="00DA0745"/>
    <w:rsid w:val="00E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A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75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75"/>
    <w:rPr>
      <w:rFonts w:ascii="Arial" w:hAnsi="Arial"/>
      <w:b/>
      <w:bCs/>
      <w:color w:val="2828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running-a-practice/practice-resources/general-practice-guides/general-practice-management-toolkit/closing-a-medical-practi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2019-06-03T21:39:00Z</dcterms:created>
  <dcterms:modified xsi:type="dcterms:W3CDTF">2019-06-03T21:39:00Z</dcterms:modified>
</cp:coreProperties>
</file>