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88824" w14:textId="5C7A9B80" w:rsidR="002C4C1B" w:rsidRDefault="007913F3" w:rsidP="007913F3">
      <w:pPr>
        <w:rPr>
          <w:rFonts w:ascii="Georgia" w:hAnsi="Georgia" w:cs="Adobe Devanagari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Georgia" w:hAnsi="Georgia" w:cs="Adobe Devanagari"/>
          <w:i/>
          <w:color w:val="000000" w:themeColor="text1"/>
          <w:sz w:val="32"/>
          <w:szCs w:val="32"/>
        </w:rPr>
        <w:t xml:space="preserve">Handover of patients in medium- and high-complexity groups with regard to drugs of dependence </w:t>
      </w:r>
      <w:r w:rsidR="00E42E04">
        <w:rPr>
          <w:rFonts w:ascii="Georgia" w:hAnsi="Georgia" w:cs="Adobe Devanagari"/>
          <w:i/>
          <w:color w:val="000000" w:themeColor="text1"/>
          <w:sz w:val="32"/>
          <w:szCs w:val="32"/>
        </w:rPr>
        <w:t>practice policy template</w:t>
      </w:r>
    </w:p>
    <w:p w14:paraId="5382850D" w14:textId="77777777" w:rsidR="007913F3" w:rsidRDefault="007913F3" w:rsidP="002C4C1B">
      <w:pPr>
        <w:rPr>
          <w:rFonts w:cs="Arial"/>
          <w:color w:val="000000" w:themeColor="text1"/>
          <w:szCs w:val="20"/>
        </w:rPr>
      </w:pPr>
      <w:r w:rsidRPr="007913F3">
        <w:rPr>
          <w:rFonts w:cs="Arial"/>
          <w:color w:val="000000" w:themeColor="text1"/>
          <w:szCs w:val="20"/>
        </w:rPr>
        <w:t>To clarify the management of patients in various risk categories with regard to drugs of dependence.</w:t>
      </w:r>
    </w:p>
    <w:p w14:paraId="11B9B7DB" w14:textId="77777777" w:rsidR="00D61A3E" w:rsidRPr="00483679" w:rsidRDefault="00D61A3E" w:rsidP="00D61A3E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For more information, please refer to the RACGPs </w:t>
      </w:r>
      <w:hyperlink r:id="rId7" w:history="1">
        <w:r w:rsidRPr="00BF6FC6">
          <w:rPr>
            <w:rStyle w:val="Hyperlink"/>
            <w:rFonts w:cs="Arial"/>
            <w:szCs w:val="20"/>
          </w:rPr>
          <w:t>Prescribing drugs of dependence in general practice – Part A – Clinical Governance Framework</w:t>
        </w:r>
      </w:hyperlink>
      <w:r>
        <w:rPr>
          <w:rFonts w:cs="Arial"/>
          <w:color w:val="000000" w:themeColor="text1"/>
          <w:szCs w:val="20"/>
        </w:rPr>
        <w:t xml:space="preserve">. </w:t>
      </w:r>
    </w:p>
    <w:p w14:paraId="6D6C360D" w14:textId="473CAD13" w:rsidR="006D1284" w:rsidRPr="005B1E07" w:rsidRDefault="006D1284" w:rsidP="005B1E07">
      <w:pPr>
        <w:spacing w:after="0"/>
        <w:contextualSpacing/>
        <w:rPr>
          <w:color w:val="auto"/>
          <w:szCs w:val="20"/>
          <w:lang w:val="en-GB"/>
        </w:rPr>
      </w:pPr>
      <w:r>
        <w:rPr>
          <w:color w:val="auto"/>
          <w:szCs w:val="20"/>
          <w:lang w:val="en-GB"/>
        </w:rPr>
        <w:br w:type="page"/>
      </w:r>
    </w:p>
    <w:p w14:paraId="6B626F6E" w14:textId="7726EABB" w:rsidR="006D1284" w:rsidRDefault="006D1284" w:rsidP="006D1284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rPr>
          <w:rFonts w:cs="Arial"/>
          <w:color w:val="0070C0"/>
          <w:sz w:val="36"/>
          <w:szCs w:val="24"/>
          <w:lang w:val="en-GB"/>
        </w:rPr>
      </w:pPr>
      <w:r>
        <w:rPr>
          <w:rFonts w:cs="Arial"/>
          <w:color w:val="FF0000"/>
          <w:sz w:val="36"/>
          <w:szCs w:val="24"/>
          <w:lang w:val="en-GB"/>
        </w:rPr>
        <w:lastRenderedPageBreak/>
        <w:t>[</w:t>
      </w:r>
      <w:r w:rsidR="00E94D6E">
        <w:rPr>
          <w:rFonts w:cs="Arial"/>
          <w:color w:val="FF0000"/>
          <w:sz w:val="36"/>
          <w:szCs w:val="24"/>
          <w:lang w:val="en-GB"/>
        </w:rPr>
        <w:t>Insert</w:t>
      </w:r>
      <w:r>
        <w:rPr>
          <w:rFonts w:cs="Arial"/>
          <w:color w:val="FF0000"/>
          <w:sz w:val="36"/>
          <w:szCs w:val="24"/>
          <w:lang w:val="en-GB"/>
        </w:rPr>
        <w:t xml:space="preserve"> practice name] </w:t>
      </w:r>
      <w:r w:rsidR="007913F3">
        <w:rPr>
          <w:rFonts w:cs="Arial"/>
          <w:color w:val="0070C0"/>
          <w:sz w:val="36"/>
          <w:szCs w:val="24"/>
          <w:lang w:val="en-GB"/>
        </w:rPr>
        <w:t xml:space="preserve">‘s handover of patients in medium- and high-complexity groups with regard to drugs of dependence policy </w:t>
      </w:r>
    </w:p>
    <w:p w14:paraId="744E29A0" w14:textId="77777777" w:rsidR="00766882" w:rsidRDefault="00766882" w:rsidP="006D1284">
      <w:pPr>
        <w:pStyle w:val="MBHeader01"/>
        <w:tabs>
          <w:tab w:val="clear" w:pos="936"/>
          <w:tab w:val="left" w:pos="720"/>
        </w:tabs>
        <w:spacing w:before="0" w:after="0"/>
        <w:ind w:left="0" w:firstLine="0"/>
        <w:rPr>
          <w:rFonts w:cs="Arial"/>
          <w:color w:val="0070C0"/>
          <w:sz w:val="36"/>
          <w:szCs w:val="24"/>
          <w:lang w:val="en-GB"/>
        </w:rPr>
      </w:pPr>
    </w:p>
    <w:p w14:paraId="3A59BF94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sz w:val="22"/>
          <w:szCs w:val="22"/>
          <w:lang w:val="en-GB"/>
        </w:rPr>
        <w:t xml:space="preserve">Current as of: </w:t>
      </w:r>
      <w:r>
        <w:rPr>
          <w:i/>
          <w:color w:val="CF1D21"/>
          <w:sz w:val="22"/>
          <w:szCs w:val="22"/>
          <w:lang w:val="en-GB"/>
        </w:rPr>
        <w:t>[insert date of last revision]</w:t>
      </w:r>
    </w:p>
    <w:p w14:paraId="20176AE8" w14:textId="77777777" w:rsidR="006D1284" w:rsidRDefault="006D1284" w:rsidP="006D1284">
      <w:pPr>
        <w:pStyle w:val="MB-Body"/>
        <w:tabs>
          <w:tab w:val="left" w:pos="720"/>
        </w:tabs>
        <w:spacing w:after="0" w:line="276" w:lineRule="auto"/>
        <w:rPr>
          <w:i/>
          <w:color w:val="CF1D21"/>
          <w:sz w:val="22"/>
          <w:szCs w:val="22"/>
          <w:lang w:val="en-GB"/>
        </w:rPr>
      </w:pPr>
      <w:r>
        <w:rPr>
          <w:i/>
          <w:color w:val="auto"/>
          <w:sz w:val="22"/>
          <w:szCs w:val="22"/>
          <w:lang w:val="en-GB"/>
        </w:rPr>
        <w:t>Version no:</w:t>
      </w:r>
      <w:r>
        <w:rPr>
          <w:i/>
          <w:color w:val="CF1D21"/>
          <w:sz w:val="22"/>
          <w:szCs w:val="22"/>
          <w:lang w:val="en-GB"/>
        </w:rPr>
        <w:t xml:space="preserve"> [insert version number]</w:t>
      </w:r>
    </w:p>
    <w:p w14:paraId="4550F6C3" w14:textId="6554FBC3" w:rsidR="002C4C1B" w:rsidRDefault="002C4C1B" w:rsidP="006D1284">
      <w:pPr>
        <w:pStyle w:val="MB-Body"/>
        <w:tabs>
          <w:tab w:val="left" w:pos="720"/>
        </w:tabs>
        <w:spacing w:after="0" w:line="276" w:lineRule="auto"/>
        <w:rPr>
          <w:i/>
          <w:sz w:val="22"/>
          <w:szCs w:val="22"/>
          <w:lang w:val="en-GB"/>
        </w:rPr>
      </w:pPr>
      <w:r w:rsidRPr="002C4C1B">
        <w:rPr>
          <w:i/>
          <w:color w:val="auto"/>
          <w:sz w:val="22"/>
          <w:szCs w:val="22"/>
          <w:lang w:val="en-GB"/>
        </w:rPr>
        <w:t xml:space="preserve">Review date: </w:t>
      </w:r>
      <w:r>
        <w:rPr>
          <w:i/>
          <w:color w:val="CF1D21"/>
          <w:sz w:val="22"/>
          <w:szCs w:val="22"/>
          <w:lang w:val="en-GB"/>
        </w:rPr>
        <w:t>[insert date]</w:t>
      </w:r>
    </w:p>
    <w:p w14:paraId="3D6D0D77" w14:textId="77777777" w:rsidR="006D1284" w:rsidRDefault="006D1284" w:rsidP="006D1284">
      <w:pPr>
        <w:spacing w:after="0"/>
        <w:contextualSpacing/>
        <w:rPr>
          <w:rFonts w:cs="Arial"/>
          <w:b/>
          <w:lang w:val="en-GB"/>
        </w:rPr>
      </w:pPr>
    </w:p>
    <w:p w14:paraId="70018EC5" w14:textId="7650227F" w:rsidR="00BF419D" w:rsidRDefault="006D1284" w:rsidP="006D1284">
      <w:pPr>
        <w:spacing w:after="0"/>
        <w:rPr>
          <w:rFonts w:cs="Arial"/>
          <w:bCs/>
        </w:rPr>
      </w:pPr>
      <w:r>
        <w:rPr>
          <w:rFonts w:cs="Arial"/>
          <w:bCs/>
          <w:lang w:val="en-GB"/>
        </w:rPr>
        <w:t>This pol</w:t>
      </w:r>
      <w:r w:rsidR="00BF419D">
        <w:rPr>
          <w:rFonts w:cs="Arial"/>
          <w:bCs/>
          <w:lang w:val="en-GB"/>
        </w:rPr>
        <w:t xml:space="preserve">icy </w:t>
      </w:r>
      <w:r w:rsidR="002C4C1B" w:rsidRPr="002C4C1B">
        <w:rPr>
          <w:rFonts w:cs="Arial"/>
          <w:bCs/>
          <w:lang w:val="en-GB"/>
        </w:rPr>
        <w:t>inform</w:t>
      </w:r>
      <w:r w:rsidR="002C4C1B">
        <w:rPr>
          <w:rFonts w:cs="Arial"/>
          <w:bCs/>
          <w:lang w:val="en-GB"/>
        </w:rPr>
        <w:t>s</w:t>
      </w:r>
      <w:r w:rsidR="002C4C1B" w:rsidRPr="002C4C1B">
        <w:rPr>
          <w:rFonts w:cs="Arial"/>
          <w:bCs/>
          <w:lang w:val="en-GB"/>
        </w:rPr>
        <w:t xml:space="preserve"> </w:t>
      </w:r>
      <w:r w:rsidR="00766882">
        <w:rPr>
          <w:rFonts w:cs="Arial"/>
          <w:bCs/>
          <w:lang w:val="en-GB"/>
        </w:rPr>
        <w:t xml:space="preserve">practice staff </w:t>
      </w:r>
      <w:r w:rsidR="00814B39">
        <w:rPr>
          <w:rFonts w:cs="Arial"/>
          <w:bCs/>
        </w:rPr>
        <w:t>of</w:t>
      </w:r>
      <w:r w:rsidR="00814B39" w:rsidRPr="00814B39">
        <w:rPr>
          <w:rFonts w:cs="Arial"/>
          <w:bCs/>
        </w:rPr>
        <w:t xml:space="preserve"> the management of patients in various risk categories with regard to drugs of dependence.</w:t>
      </w:r>
    </w:p>
    <w:p w14:paraId="325441E5" w14:textId="77777777" w:rsidR="00814B39" w:rsidRDefault="00814B39" w:rsidP="006D1284">
      <w:pPr>
        <w:spacing w:after="0"/>
        <w:rPr>
          <w:rFonts w:cs="Arial"/>
          <w:bCs/>
          <w:lang w:val="en-GB"/>
        </w:rPr>
      </w:pPr>
    </w:p>
    <w:p w14:paraId="75330462" w14:textId="72CECDFF" w:rsidR="00814B39" w:rsidRDefault="00814B39" w:rsidP="00814B39">
      <w:pPr>
        <w:spacing w:after="0"/>
        <w:contextualSpacing/>
        <w:rPr>
          <w:rFonts w:eastAsia="Times New Roman" w:cs="Arial"/>
          <w:lang w:eastAsia="en-AU"/>
        </w:rPr>
      </w:pPr>
      <w:r w:rsidRPr="00814B39">
        <w:rPr>
          <w:rFonts w:eastAsia="Times New Roman" w:cs="Arial"/>
          <w:lang w:eastAsia="en-AU"/>
        </w:rPr>
        <w:t xml:space="preserve">It is our practice policy that all </w:t>
      </w:r>
      <w:r w:rsidR="000C2736">
        <w:rPr>
          <w:rFonts w:eastAsia="Times New Roman" w:cs="Arial"/>
          <w:lang w:eastAsia="en-AU"/>
        </w:rPr>
        <w:t>patients</w:t>
      </w:r>
      <w:r w:rsidRPr="00814B39">
        <w:rPr>
          <w:rFonts w:eastAsia="Times New Roman" w:cs="Arial"/>
          <w:lang w:eastAsia="en-AU"/>
        </w:rPr>
        <w:t xml:space="preserve"> regularly using drugs of dependence have their problems/needs assessed</w:t>
      </w:r>
      <w:r>
        <w:rPr>
          <w:rFonts w:eastAsia="Times New Roman" w:cs="Arial"/>
          <w:lang w:eastAsia="en-AU"/>
        </w:rPr>
        <w:t xml:space="preserve"> </w:t>
      </w:r>
      <w:r w:rsidRPr="00814B39">
        <w:rPr>
          <w:rFonts w:eastAsia="Times New Roman" w:cs="Arial"/>
          <w:lang w:eastAsia="en-AU"/>
        </w:rPr>
        <w:t>based on levels of complexity (ie lo</w:t>
      </w:r>
      <w:r w:rsidR="000C2736">
        <w:rPr>
          <w:rFonts w:eastAsia="Times New Roman" w:cs="Arial"/>
          <w:lang w:eastAsia="en-AU"/>
        </w:rPr>
        <w:t xml:space="preserve">w, medium or high). Patients in </w:t>
      </w:r>
      <w:r w:rsidRPr="00814B39">
        <w:rPr>
          <w:rFonts w:eastAsia="Times New Roman" w:cs="Arial"/>
          <w:lang w:eastAsia="en-AU"/>
        </w:rPr>
        <w:t>medium- or high-complexity groups should have</w:t>
      </w:r>
      <w:r>
        <w:rPr>
          <w:rFonts w:eastAsia="Times New Roman" w:cs="Arial"/>
          <w:lang w:eastAsia="en-AU"/>
        </w:rPr>
        <w:t xml:space="preserve"> </w:t>
      </w:r>
      <w:r w:rsidRPr="00814B39">
        <w:rPr>
          <w:rFonts w:eastAsia="Times New Roman" w:cs="Arial"/>
          <w:lang w:eastAsia="en-AU"/>
        </w:rPr>
        <w:t>an appropriate spe</w:t>
      </w:r>
      <w:r w:rsidR="000C2736">
        <w:rPr>
          <w:rFonts w:eastAsia="Times New Roman" w:cs="Arial"/>
          <w:lang w:eastAsia="en-AU"/>
        </w:rPr>
        <w:t xml:space="preserve">cialist review. Practice policy </w:t>
      </w:r>
      <w:r w:rsidRPr="00814B39">
        <w:rPr>
          <w:rFonts w:eastAsia="Times New Roman" w:cs="Arial"/>
          <w:lang w:eastAsia="en-AU"/>
        </w:rPr>
        <w:t>requires that patients with medium- or high-complexity problems are</w:t>
      </w:r>
      <w:r>
        <w:rPr>
          <w:rFonts w:eastAsia="Times New Roman" w:cs="Arial"/>
          <w:lang w:eastAsia="en-AU"/>
        </w:rPr>
        <w:t xml:space="preserve"> </w:t>
      </w:r>
      <w:r w:rsidRPr="00814B39">
        <w:rPr>
          <w:rFonts w:eastAsia="Times New Roman" w:cs="Arial"/>
          <w:lang w:eastAsia="en-AU"/>
        </w:rPr>
        <w:t>managed in a manner consistent with the universal precautions of pain medicine. That is:</w:t>
      </w:r>
    </w:p>
    <w:p w14:paraId="4C5C6994" w14:textId="77777777" w:rsidR="00814B39" w:rsidRPr="00814B39" w:rsidRDefault="00814B39" w:rsidP="00814B39">
      <w:pPr>
        <w:spacing w:after="0"/>
        <w:contextualSpacing/>
        <w:rPr>
          <w:rFonts w:eastAsia="Times New Roman" w:cs="Arial"/>
          <w:lang w:eastAsia="en-AU"/>
        </w:rPr>
      </w:pPr>
    </w:p>
    <w:p w14:paraId="413C2108" w14:textId="4B9072AA" w:rsidR="00814B39" w:rsidRPr="00E66851" w:rsidRDefault="00814B39" w:rsidP="00E66851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lang w:eastAsia="en-AU"/>
        </w:rPr>
      </w:pPr>
      <w:r w:rsidRPr="00E66851">
        <w:rPr>
          <w:rFonts w:eastAsia="Times New Roman" w:cs="Arial"/>
          <w:lang w:eastAsia="en-AU"/>
        </w:rPr>
        <w:t>a clear diagnosis and reasons for prescription are documented</w:t>
      </w:r>
    </w:p>
    <w:p w14:paraId="3ACC0C71" w14:textId="6A2DA2BF" w:rsidR="00814B39" w:rsidRPr="00E66851" w:rsidRDefault="00814B39" w:rsidP="00E66851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lang w:eastAsia="en-AU"/>
        </w:rPr>
      </w:pPr>
      <w:r w:rsidRPr="00E66851">
        <w:rPr>
          <w:rFonts w:eastAsia="Times New Roman" w:cs="Arial"/>
          <w:lang w:eastAsia="en-AU"/>
        </w:rPr>
        <w:t>a full psychosocial assessment is conducted including risk of addictive disorders</w:t>
      </w:r>
    </w:p>
    <w:p w14:paraId="41063167" w14:textId="43A5094F" w:rsidR="00814B39" w:rsidRPr="00E66851" w:rsidRDefault="00814B39" w:rsidP="00E66851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lang w:eastAsia="en-AU"/>
        </w:rPr>
      </w:pPr>
      <w:r w:rsidRPr="00E66851">
        <w:rPr>
          <w:rFonts w:eastAsia="Times New Roman" w:cs="Arial"/>
          <w:lang w:eastAsia="en-AU"/>
        </w:rPr>
        <w:t>informed consent for treatment plans is used</w:t>
      </w:r>
    </w:p>
    <w:p w14:paraId="25A21AE8" w14:textId="77CAB2A1" w:rsidR="00814B39" w:rsidRPr="00E66851" w:rsidRDefault="00814B39" w:rsidP="00E66851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lang w:eastAsia="en-AU"/>
        </w:rPr>
      </w:pPr>
      <w:r w:rsidRPr="00E66851">
        <w:rPr>
          <w:rFonts w:eastAsia="Times New Roman" w:cs="Arial"/>
          <w:lang w:eastAsia="en-AU"/>
        </w:rPr>
        <w:t>pre- and post-intervention assessment of pain level and function is undertaken</w:t>
      </w:r>
    </w:p>
    <w:p w14:paraId="56EEEBA1" w14:textId="4FE170C1" w:rsidR="00814B39" w:rsidRPr="00E66851" w:rsidRDefault="00814B39" w:rsidP="00E66851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lang w:eastAsia="en-AU"/>
        </w:rPr>
      </w:pPr>
      <w:r w:rsidRPr="00E66851">
        <w:rPr>
          <w:rFonts w:eastAsia="Times New Roman" w:cs="Arial"/>
          <w:lang w:eastAsia="en-AU"/>
        </w:rPr>
        <w:t>opioid therapy +/</w:t>
      </w:r>
      <w:r w:rsidRPr="00E66851">
        <w:rPr>
          <w:rFonts w:eastAsia="Times New Roman" w:cs="Arial" w:hint="eastAsia"/>
          <w:lang w:eastAsia="en-AU"/>
        </w:rPr>
        <w:t>–</w:t>
      </w:r>
      <w:r w:rsidRPr="00E66851">
        <w:rPr>
          <w:rFonts w:eastAsia="Times New Roman" w:cs="Arial"/>
          <w:lang w:eastAsia="en-AU"/>
        </w:rPr>
        <w:t xml:space="preserve"> adjunctive medication is commenced on a trial basis</w:t>
      </w:r>
    </w:p>
    <w:p w14:paraId="26D265EB" w14:textId="1F0577B2" w:rsidR="00814B39" w:rsidRPr="00E66851" w:rsidRDefault="00814B39" w:rsidP="00E66851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lang w:eastAsia="en-AU"/>
        </w:rPr>
      </w:pPr>
      <w:r w:rsidRPr="00E66851">
        <w:rPr>
          <w:rFonts w:eastAsia="Times New Roman" w:cs="Arial"/>
          <w:lang w:eastAsia="en-AU"/>
        </w:rPr>
        <w:t>levels of pain and function are constantly assessed</w:t>
      </w:r>
    </w:p>
    <w:p w14:paraId="44D13175" w14:textId="53DF7989" w:rsidR="00814B39" w:rsidRPr="00E66851" w:rsidRDefault="00814B39" w:rsidP="00E66851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lang w:eastAsia="en-AU"/>
        </w:rPr>
      </w:pPr>
      <w:r w:rsidRPr="00E66851">
        <w:rPr>
          <w:rFonts w:eastAsia="Times New Roman" w:cs="Arial"/>
          <w:lang w:eastAsia="en-AU"/>
        </w:rPr>
        <w:t xml:space="preserve">the </w:t>
      </w:r>
      <w:r w:rsidRPr="00E66851">
        <w:rPr>
          <w:rFonts w:eastAsia="Times New Roman" w:cs="Arial" w:hint="eastAsia"/>
          <w:lang w:eastAsia="en-AU"/>
        </w:rPr>
        <w:t>‘</w:t>
      </w:r>
      <w:r w:rsidRPr="00E66851">
        <w:rPr>
          <w:rFonts w:eastAsia="Times New Roman" w:cs="Arial"/>
          <w:lang w:eastAsia="en-AU"/>
        </w:rPr>
        <w:t>five As</w:t>
      </w:r>
      <w:r w:rsidRPr="00E66851">
        <w:rPr>
          <w:rFonts w:eastAsia="Times New Roman" w:cs="Arial" w:hint="eastAsia"/>
          <w:lang w:eastAsia="en-AU"/>
        </w:rPr>
        <w:t>’</w:t>
      </w:r>
      <w:r w:rsidRPr="00E66851">
        <w:rPr>
          <w:rFonts w:eastAsia="Times New Roman" w:cs="Arial"/>
          <w:lang w:eastAsia="en-AU"/>
        </w:rPr>
        <w:t xml:space="preserve"> of pain medicine (analgesia, activity, adverse events, aberr</w:t>
      </w:r>
      <w:r w:rsidR="000C2736" w:rsidRPr="00E66851">
        <w:rPr>
          <w:rFonts w:eastAsia="Times New Roman" w:cs="Arial"/>
          <w:lang w:eastAsia="en-AU"/>
        </w:rPr>
        <w:t xml:space="preserve">ant behaviour, affect) are </w:t>
      </w:r>
      <w:r w:rsidRPr="00E66851">
        <w:rPr>
          <w:rFonts w:eastAsia="Times New Roman" w:cs="Arial"/>
          <w:lang w:eastAsia="en-AU"/>
        </w:rPr>
        <w:t>constantly</w:t>
      </w:r>
      <w:r w:rsidR="000C2736" w:rsidRPr="00E66851">
        <w:rPr>
          <w:rFonts w:eastAsia="Times New Roman" w:cs="Arial"/>
          <w:lang w:eastAsia="en-AU"/>
        </w:rPr>
        <w:t xml:space="preserve"> </w:t>
      </w:r>
      <w:r w:rsidRPr="00E66851">
        <w:rPr>
          <w:rFonts w:eastAsia="Times New Roman" w:cs="Arial"/>
          <w:lang w:eastAsia="en-AU"/>
        </w:rPr>
        <w:t>assessed</w:t>
      </w:r>
    </w:p>
    <w:p w14:paraId="28633C62" w14:textId="3D05D2FD" w:rsidR="00814B39" w:rsidRPr="00E66851" w:rsidRDefault="00814B39" w:rsidP="00E66851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lang w:eastAsia="en-AU"/>
        </w:rPr>
      </w:pPr>
      <w:r w:rsidRPr="00E66851">
        <w:rPr>
          <w:rFonts w:eastAsia="Times New Roman" w:cs="Arial"/>
          <w:lang w:eastAsia="en-AU"/>
        </w:rPr>
        <w:t>the diagnosis is periodically reviewed and comorbidities are managed appropriately</w:t>
      </w:r>
    </w:p>
    <w:p w14:paraId="02103E24" w14:textId="32EFD53F" w:rsidR="00814B39" w:rsidRPr="00E66851" w:rsidRDefault="00814B39" w:rsidP="00E66851">
      <w:pPr>
        <w:pStyle w:val="ListParagraph"/>
        <w:numPr>
          <w:ilvl w:val="0"/>
          <w:numId w:val="1"/>
        </w:numPr>
        <w:spacing w:after="0"/>
        <w:rPr>
          <w:rFonts w:eastAsia="Times New Roman" w:cs="Arial"/>
          <w:lang w:eastAsia="en-AU"/>
        </w:rPr>
      </w:pPr>
      <w:r w:rsidRPr="00E66851">
        <w:rPr>
          <w:rFonts w:eastAsia="Times New Roman" w:cs="Arial"/>
          <w:lang w:eastAsia="en-AU"/>
        </w:rPr>
        <w:t>the level of documentation standards needs to be high.</w:t>
      </w:r>
    </w:p>
    <w:p w14:paraId="71D3852A" w14:textId="77777777" w:rsidR="000C2736" w:rsidRDefault="000C2736" w:rsidP="00814B39">
      <w:pPr>
        <w:spacing w:after="0"/>
        <w:contextualSpacing/>
        <w:rPr>
          <w:rFonts w:eastAsia="Times New Roman" w:cs="Arial"/>
          <w:lang w:eastAsia="en-AU"/>
        </w:rPr>
      </w:pPr>
    </w:p>
    <w:p w14:paraId="2FE62AE3" w14:textId="5E194F47" w:rsidR="00766882" w:rsidRDefault="00814B39" w:rsidP="00814B39">
      <w:pPr>
        <w:spacing w:after="0"/>
        <w:contextualSpacing/>
        <w:rPr>
          <w:rFonts w:eastAsia="Times New Roman" w:cs="Arial"/>
          <w:lang w:eastAsia="en-AU"/>
        </w:rPr>
      </w:pPr>
      <w:r w:rsidRPr="00814B39">
        <w:rPr>
          <w:rFonts w:eastAsia="Times New Roman" w:cs="Arial"/>
          <w:lang w:eastAsia="en-AU"/>
        </w:rPr>
        <w:t>These practice standards are required to ensure the ongoing provision of care in the event of the absence of the</w:t>
      </w:r>
      <w:r w:rsidR="000C2736">
        <w:rPr>
          <w:rFonts w:eastAsia="Times New Roman" w:cs="Arial"/>
          <w:lang w:eastAsia="en-AU"/>
        </w:rPr>
        <w:t xml:space="preserve"> </w:t>
      </w:r>
      <w:r w:rsidRPr="00814B39">
        <w:rPr>
          <w:rFonts w:eastAsia="Times New Roman" w:cs="Arial"/>
          <w:lang w:eastAsia="en-AU"/>
        </w:rPr>
        <w:t>patient</w:t>
      </w:r>
      <w:r w:rsidRPr="00814B39">
        <w:rPr>
          <w:rFonts w:eastAsia="Times New Roman" w:cs="Arial" w:hint="eastAsia"/>
          <w:lang w:eastAsia="en-AU"/>
        </w:rPr>
        <w:t>’</w:t>
      </w:r>
      <w:r w:rsidRPr="00814B39">
        <w:rPr>
          <w:rFonts w:eastAsia="Times New Roman" w:cs="Arial"/>
          <w:lang w:eastAsia="en-AU"/>
        </w:rPr>
        <w:t>s usual doctor.</w:t>
      </w:r>
    </w:p>
    <w:p w14:paraId="3F431D44" w14:textId="77777777" w:rsidR="000C2736" w:rsidRDefault="000C2736" w:rsidP="000C2736">
      <w:pPr>
        <w:spacing w:after="0"/>
        <w:contextualSpacing/>
        <w:rPr>
          <w:rFonts w:eastAsia="Times New Roman" w:cs="Arial"/>
          <w:lang w:eastAsia="en-AU"/>
        </w:rPr>
      </w:pPr>
    </w:p>
    <w:p w14:paraId="01559956" w14:textId="469E3B5D" w:rsidR="000C2736" w:rsidRDefault="000C2736" w:rsidP="000C2736">
      <w:pPr>
        <w:spacing w:after="0"/>
        <w:contextualSpacing/>
        <w:rPr>
          <w:rFonts w:eastAsia="Times New Roman" w:cs="Arial"/>
          <w:lang w:eastAsia="en-AU"/>
        </w:rPr>
      </w:pPr>
      <w:r w:rsidRPr="000C2736">
        <w:rPr>
          <w:rFonts w:eastAsia="Times New Roman" w:cs="Arial"/>
          <w:lang w:eastAsia="en-AU"/>
        </w:rPr>
        <w:t>With respect to new patients presenting to the practice, or being referred by other agencies, it is our practice policy</w:t>
      </w:r>
      <w:r>
        <w:rPr>
          <w:rFonts w:eastAsia="Times New Roman" w:cs="Arial"/>
          <w:lang w:eastAsia="en-AU"/>
        </w:rPr>
        <w:t xml:space="preserve"> </w:t>
      </w:r>
      <w:r w:rsidRPr="000C2736">
        <w:rPr>
          <w:rFonts w:eastAsia="Times New Roman" w:cs="Arial"/>
          <w:lang w:eastAsia="en-AU"/>
        </w:rPr>
        <w:t>that:</w:t>
      </w:r>
    </w:p>
    <w:p w14:paraId="6E91597F" w14:textId="77777777" w:rsidR="000C2736" w:rsidRPr="000C2736" w:rsidRDefault="000C2736" w:rsidP="000C2736">
      <w:pPr>
        <w:spacing w:after="0"/>
        <w:contextualSpacing/>
        <w:rPr>
          <w:rFonts w:eastAsia="Times New Roman" w:cs="Arial"/>
          <w:lang w:eastAsia="en-AU"/>
        </w:rPr>
      </w:pPr>
    </w:p>
    <w:p w14:paraId="71B70ABC" w14:textId="41DDDF3D" w:rsidR="000C2736" w:rsidRPr="00E66851" w:rsidRDefault="000C2736" w:rsidP="00E66851">
      <w:pPr>
        <w:pStyle w:val="ListParagraph"/>
        <w:numPr>
          <w:ilvl w:val="0"/>
          <w:numId w:val="2"/>
        </w:numPr>
        <w:spacing w:after="0"/>
        <w:rPr>
          <w:rFonts w:eastAsia="Times New Roman" w:cs="Arial"/>
          <w:lang w:eastAsia="en-AU"/>
        </w:rPr>
      </w:pPr>
      <w:r w:rsidRPr="00E66851">
        <w:rPr>
          <w:rFonts w:eastAsia="Times New Roman" w:cs="Arial"/>
          <w:lang w:eastAsia="en-AU"/>
        </w:rPr>
        <w:t>The practice reserves the right not to accept these patients if either the practice or the practitioner is of the view that the current treatment plan is inconsistent with evidence-based guidelines, and the level of complexity exceeds the practice</w:t>
      </w:r>
      <w:r w:rsidRPr="00E66851">
        <w:rPr>
          <w:rFonts w:eastAsia="Times New Roman" w:cs="Arial" w:hint="eastAsia"/>
          <w:lang w:eastAsia="en-AU"/>
        </w:rPr>
        <w:t>’</w:t>
      </w:r>
      <w:r w:rsidRPr="00E66851">
        <w:rPr>
          <w:rFonts w:eastAsia="Times New Roman" w:cs="Arial"/>
          <w:lang w:eastAsia="en-AU"/>
        </w:rPr>
        <w:t>s capacity to manage the patient.</w:t>
      </w:r>
    </w:p>
    <w:p w14:paraId="35ACDFF5" w14:textId="77777777" w:rsidR="000C2736" w:rsidRPr="000C2736" w:rsidRDefault="000C2736" w:rsidP="000C2736">
      <w:pPr>
        <w:spacing w:after="0"/>
        <w:contextualSpacing/>
        <w:rPr>
          <w:rFonts w:eastAsia="Times New Roman" w:cs="Arial"/>
          <w:lang w:eastAsia="en-AU"/>
        </w:rPr>
      </w:pPr>
    </w:p>
    <w:p w14:paraId="4EA4B5B0" w14:textId="014A43ED" w:rsidR="000C2736" w:rsidRPr="00E66851" w:rsidRDefault="000C2736" w:rsidP="00E66851">
      <w:pPr>
        <w:pStyle w:val="ListParagraph"/>
        <w:numPr>
          <w:ilvl w:val="0"/>
          <w:numId w:val="2"/>
        </w:numPr>
        <w:spacing w:after="0"/>
        <w:rPr>
          <w:rFonts w:eastAsia="Times New Roman" w:cs="Arial"/>
          <w:lang w:eastAsia="en-AU"/>
        </w:rPr>
      </w:pPr>
      <w:r w:rsidRPr="00E66851">
        <w:rPr>
          <w:rFonts w:eastAsia="Times New Roman" w:cs="Arial"/>
          <w:lang w:eastAsia="en-AU"/>
        </w:rPr>
        <w:t xml:space="preserve">If a doctor feels that a referral letter from an external agency does not meet handover standards, then communication should be sent to the original referrer seeking additional information (refer to </w:t>
      </w:r>
      <w:r w:rsidRPr="00E66851">
        <w:rPr>
          <w:rFonts w:eastAsia="Times New Roman" w:cs="Arial"/>
          <w:i/>
          <w:iCs/>
          <w:lang w:eastAsia="en-AU"/>
        </w:rPr>
        <w:t xml:space="preserve">Appendix E.2 </w:t>
      </w:r>
      <w:r w:rsidRPr="00E66851">
        <w:rPr>
          <w:rFonts w:eastAsia="Times New Roman" w:cs="Arial"/>
          <w:iCs/>
          <w:lang w:eastAsia="en-AU"/>
        </w:rPr>
        <w:t xml:space="preserve">of the RACGPs </w:t>
      </w:r>
      <w:r w:rsidRPr="00E66851">
        <w:rPr>
          <w:rFonts w:eastAsia="Times New Roman" w:cs="Arial"/>
          <w:i/>
          <w:iCs/>
          <w:lang w:eastAsia="en-AU"/>
        </w:rPr>
        <w:t>Prescribing drugs of dependence in general practice, Part A</w:t>
      </w:r>
      <w:r w:rsidRPr="00E66851">
        <w:rPr>
          <w:rFonts w:eastAsia="Times New Roman" w:cs="Arial"/>
          <w:lang w:eastAsia="en-AU"/>
        </w:rPr>
        <w:t>).</w:t>
      </w:r>
    </w:p>
    <w:p w14:paraId="24217BB5" w14:textId="77777777" w:rsidR="002C4C1B" w:rsidRDefault="002C4C1B" w:rsidP="006D1284">
      <w:pPr>
        <w:spacing w:after="0"/>
        <w:contextualSpacing/>
        <w:rPr>
          <w:rFonts w:eastAsia="Times New Roman" w:cs="Arial"/>
          <w:color w:val="0070C0"/>
          <w:sz w:val="32"/>
          <w:szCs w:val="32"/>
          <w:lang w:val="en-GB" w:eastAsia="en-AU"/>
        </w:rPr>
      </w:pPr>
    </w:p>
    <w:p w14:paraId="737D85B3" w14:textId="77777777" w:rsidR="000C2736" w:rsidRDefault="000C2736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7F9F85CE" w14:textId="77777777" w:rsidR="000C2736" w:rsidRDefault="000C2736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</w:p>
    <w:p w14:paraId="3D3B6511" w14:textId="77777777" w:rsidR="006D1284" w:rsidRDefault="006D1284" w:rsidP="006D1284">
      <w:pPr>
        <w:spacing w:after="0"/>
        <w:contextualSpacing/>
        <w:rPr>
          <w:rFonts w:eastAsia="Times New Roman" w:cs="Arial"/>
          <w:color w:val="0070C0"/>
          <w:sz w:val="28"/>
          <w:szCs w:val="28"/>
          <w:lang w:val="en-GB" w:eastAsia="en-AU"/>
        </w:rPr>
      </w:pPr>
      <w:r>
        <w:rPr>
          <w:rFonts w:eastAsia="Times New Roman" w:cs="Arial"/>
          <w:color w:val="0070C0"/>
          <w:sz w:val="28"/>
          <w:szCs w:val="28"/>
          <w:lang w:val="en-GB" w:eastAsia="en-AU"/>
        </w:rPr>
        <w:t>Disclaimer</w:t>
      </w:r>
    </w:p>
    <w:p w14:paraId="5AF922D9" w14:textId="77777777" w:rsidR="000B4C1F" w:rsidRPr="0002280E" w:rsidRDefault="000B4C1F" w:rsidP="000B4C1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02280E">
        <w:rPr>
          <w:rFonts w:cs="Arial"/>
          <w:sz w:val="16"/>
          <w:szCs w:val="16"/>
        </w:rPr>
        <w:t>The information set out in this publication is current at the date of first publication and is intended for use as a guide of a general nature only and may or may not be relevant to particular patients or circumstances. Nor is this publication exhaustive of the subject matter.</w:t>
      </w:r>
      <w:r>
        <w:rPr>
          <w:rFonts w:cs="Arial"/>
          <w:sz w:val="16"/>
          <w:szCs w:val="16"/>
        </w:rPr>
        <w:t xml:space="preserve"> It is no substitute for individual inquiry. </w:t>
      </w:r>
      <w:r w:rsidRPr="0002280E">
        <w:rPr>
          <w:rFonts w:cs="Arial"/>
          <w:sz w:val="16"/>
          <w:szCs w:val="16"/>
        </w:rPr>
        <w:t xml:space="preserve">Compliance with any recommendations </w:t>
      </w:r>
      <w:r>
        <w:rPr>
          <w:rFonts w:cs="Arial"/>
          <w:sz w:val="16"/>
          <w:szCs w:val="16"/>
        </w:rPr>
        <w:t>does not</w:t>
      </w:r>
      <w:r w:rsidRPr="0002280E">
        <w:rPr>
          <w:rFonts w:cs="Arial"/>
          <w:sz w:val="16"/>
          <w:szCs w:val="16"/>
        </w:rPr>
        <w:t xml:space="preserve"> guarantee discharge of the duty of care owed to patients</w:t>
      </w:r>
      <w:r>
        <w:rPr>
          <w:rFonts w:cs="Arial"/>
          <w:sz w:val="16"/>
          <w:szCs w:val="16"/>
        </w:rPr>
        <w:t xml:space="preserve">. </w:t>
      </w:r>
      <w:r w:rsidRPr="0002280E">
        <w:rPr>
          <w:rFonts w:cs="Arial"/>
          <w:sz w:val="16"/>
          <w:szCs w:val="16"/>
        </w:rPr>
        <w:t xml:space="preserve">The RACGP and its employees and agents </w:t>
      </w:r>
      <w:r>
        <w:rPr>
          <w:rFonts w:cs="Arial"/>
          <w:sz w:val="16"/>
          <w:szCs w:val="16"/>
        </w:rPr>
        <w:t>have</w:t>
      </w:r>
      <w:r w:rsidRPr="0002280E">
        <w:rPr>
          <w:rFonts w:cs="Arial"/>
          <w:sz w:val="16"/>
          <w:szCs w:val="16"/>
        </w:rPr>
        <w:t xml:space="preserve"> no liability (including </w:t>
      </w:r>
      <w:r>
        <w:rPr>
          <w:rFonts w:cs="Arial"/>
          <w:sz w:val="16"/>
          <w:szCs w:val="16"/>
        </w:rPr>
        <w:t>for</w:t>
      </w:r>
      <w:r w:rsidRPr="0002280E">
        <w:rPr>
          <w:rFonts w:cs="Arial"/>
          <w:sz w:val="16"/>
          <w:szCs w:val="16"/>
        </w:rPr>
        <w:t xml:space="preserve"> negligence) to any users of the information contained in this publication</w:t>
      </w:r>
      <w:r>
        <w:rPr>
          <w:rFonts w:cs="Arial"/>
          <w:sz w:val="16"/>
          <w:szCs w:val="16"/>
        </w:rPr>
        <w:t>.</w:t>
      </w:r>
      <w:r w:rsidRPr="0002280E">
        <w:rPr>
          <w:rFonts w:cs="Arial"/>
          <w:sz w:val="16"/>
          <w:szCs w:val="16"/>
        </w:rPr>
        <w:t xml:space="preserve"> </w:t>
      </w:r>
    </w:p>
    <w:p w14:paraId="22BAD273" w14:textId="77777777" w:rsidR="000B4C1F" w:rsidRPr="0002280E" w:rsidRDefault="000B4C1F" w:rsidP="000B4C1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742843AA" w14:textId="67910DED" w:rsidR="000B4C1F" w:rsidRPr="0002280E" w:rsidRDefault="000B4C1F" w:rsidP="000B4C1F">
      <w:pPr>
        <w:spacing w:after="0" w:line="240" w:lineRule="auto"/>
        <w:rPr>
          <w:rFonts w:cs="Arial"/>
          <w:sz w:val="16"/>
          <w:szCs w:val="16"/>
          <w:highlight w:val="yellow"/>
        </w:rPr>
      </w:pPr>
      <w:r w:rsidRPr="0002280E">
        <w:rPr>
          <w:rFonts w:cs="Arial"/>
          <w:sz w:val="16"/>
          <w:szCs w:val="16"/>
        </w:rPr>
        <w:t xml:space="preserve">© The Royal Australian College of General Practitioners </w:t>
      </w:r>
      <w:r w:rsidR="000A3602">
        <w:rPr>
          <w:rFonts w:cs="Arial"/>
          <w:sz w:val="16"/>
          <w:szCs w:val="16"/>
          <w:highlight w:val="yellow"/>
        </w:rPr>
        <w:t>[</w:t>
      </w:r>
      <w:r w:rsidR="000A3602" w:rsidRPr="000A3602">
        <w:rPr>
          <w:rFonts w:cs="Arial"/>
          <w:sz w:val="16"/>
          <w:szCs w:val="16"/>
        </w:rPr>
        <w:t>2019</w:t>
      </w:r>
      <w:r w:rsidRPr="000A3602">
        <w:rPr>
          <w:rFonts w:cs="Arial"/>
          <w:sz w:val="16"/>
          <w:szCs w:val="16"/>
        </w:rPr>
        <w:t>]</w:t>
      </w:r>
    </w:p>
    <w:p w14:paraId="47B8D24F" w14:textId="77777777" w:rsidR="000B4C1F" w:rsidRPr="0002280E" w:rsidRDefault="000B4C1F" w:rsidP="000B4C1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1868FCCA" w14:textId="77777777" w:rsidR="000B4C1F" w:rsidRDefault="00FB7AAE" w:rsidP="000B4C1F">
      <w:pPr>
        <w:spacing w:after="0" w:line="240" w:lineRule="auto"/>
        <w:rPr>
          <w:rFonts w:cs="Arial"/>
          <w:sz w:val="16"/>
          <w:szCs w:val="16"/>
        </w:rPr>
      </w:pPr>
      <w:hyperlink r:id="rId8" w:history="1"/>
      <w:hyperlink r:id="rId9" w:history="1">
        <w:r w:rsidR="000B4C1F" w:rsidRPr="000871B9">
          <w:rPr>
            <w:rFonts w:cs="Arial"/>
            <w:sz w:val="16"/>
            <w:szCs w:val="16"/>
          </w:rPr>
          <w:t>This</w:t>
        </w:r>
      </w:hyperlink>
      <w:r w:rsidR="000B4C1F" w:rsidRPr="000871B9">
        <w:rPr>
          <w:rFonts w:cs="Arial"/>
          <w:sz w:val="16"/>
          <w:szCs w:val="16"/>
        </w:rPr>
        <w:t xml:space="preserve"> resource is provided under licence by the RACGP. Full terms are available at </w:t>
      </w:r>
      <w:hyperlink r:id="rId10" w:history="1">
        <w:r w:rsidR="000B4C1F" w:rsidRPr="000871B9">
          <w:rPr>
            <w:rStyle w:val="Hyperlink"/>
            <w:rFonts w:cs="Arial"/>
            <w:sz w:val="16"/>
            <w:szCs w:val="16"/>
          </w:rPr>
          <w:t>www.racgp.org.au/usage/licence</w:t>
        </w:r>
      </w:hyperlink>
      <w:r w:rsidR="000B4C1F">
        <w:rPr>
          <w:rFonts w:cs="Arial"/>
          <w:sz w:val="16"/>
          <w:szCs w:val="16"/>
        </w:rPr>
        <w:t xml:space="preserve"> </w:t>
      </w:r>
    </w:p>
    <w:p w14:paraId="0EB68DEE" w14:textId="77777777" w:rsidR="000B4C1F" w:rsidRDefault="000B4C1F" w:rsidP="000B4C1F">
      <w:pPr>
        <w:spacing w:after="0" w:line="240" w:lineRule="auto"/>
        <w:rPr>
          <w:rFonts w:cs="Arial"/>
          <w:sz w:val="16"/>
          <w:szCs w:val="16"/>
        </w:rPr>
      </w:pPr>
    </w:p>
    <w:p w14:paraId="0C6F8DF3" w14:textId="77777777" w:rsidR="000B4C1F" w:rsidRPr="0002280E" w:rsidRDefault="000B4C1F" w:rsidP="000B4C1F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 w:rsidRPr="00787505">
        <w:rPr>
          <w:rFonts w:cs="Arial"/>
          <w:i/>
          <w:sz w:val="16"/>
          <w:szCs w:val="16"/>
        </w:rPr>
        <w:t>We acknowledge the Traditional Custodians of the lands and seas on which we work and live, and pay our respects to Elders, past, present and future.</w:t>
      </w:r>
    </w:p>
    <w:p w14:paraId="68AAD35B" w14:textId="40CF28A2" w:rsidR="00062BE7" w:rsidRPr="006D1284" w:rsidRDefault="00062BE7" w:rsidP="006D1284"/>
    <w:sectPr w:rsidR="00062BE7" w:rsidRPr="006D1284" w:rsidSect="001D0673">
      <w:headerReference w:type="default" r:id="rId11"/>
      <w:footerReference w:type="default" r:id="rId12"/>
      <w:pgSz w:w="11906" w:h="16838"/>
      <w:pgMar w:top="226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9D64F" w14:textId="77777777" w:rsidR="008C7DFE" w:rsidRDefault="0071358B">
      <w:pPr>
        <w:spacing w:after="0" w:line="240" w:lineRule="auto"/>
      </w:pPr>
      <w:r>
        <w:separator/>
      </w:r>
    </w:p>
  </w:endnote>
  <w:endnote w:type="continuationSeparator" w:id="0">
    <w:p w14:paraId="7B5B36B5" w14:textId="77777777" w:rsidR="008C7DFE" w:rsidRDefault="0071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antinMTStd-LightItalic">
    <w:altName w:val="MV Boli"/>
    <w:charset w:val="00"/>
    <w:family w:val="roman"/>
    <w:pitch w:val="variable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0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1D7ED7" w14:textId="03C92249" w:rsidR="001D0673" w:rsidRDefault="001D0673" w:rsidP="001D0673">
        <w:pPr>
          <w:pStyle w:val="Footer"/>
        </w:pPr>
      </w:p>
      <w:p w14:paraId="5597AD4F" w14:textId="3A5C16E2" w:rsidR="00865FA8" w:rsidRDefault="00120180" w:rsidP="004764D3">
        <w:pPr>
          <w:pStyle w:val="Footer"/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A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E09A2C" w14:textId="77777777" w:rsidR="00865FA8" w:rsidRDefault="00FB7A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E9085" w14:textId="77777777" w:rsidR="008C7DFE" w:rsidRDefault="0071358B">
      <w:pPr>
        <w:spacing w:after="0" w:line="240" w:lineRule="auto"/>
      </w:pPr>
      <w:r>
        <w:separator/>
      </w:r>
    </w:p>
  </w:footnote>
  <w:footnote w:type="continuationSeparator" w:id="0">
    <w:p w14:paraId="7F4332B3" w14:textId="77777777" w:rsidR="008C7DFE" w:rsidRDefault="0071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14C8A" w14:textId="498F7963" w:rsidR="00865FA8" w:rsidRDefault="0012018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24DF3E5C" wp14:editId="0DF3A4B4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12E91"/>
    <w:multiLevelType w:val="hybridMultilevel"/>
    <w:tmpl w:val="43E05FBC"/>
    <w:lvl w:ilvl="0" w:tplc="688AF62C">
      <w:numFmt w:val="bullet"/>
      <w:lvlText w:val="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00283"/>
    <w:multiLevelType w:val="hybridMultilevel"/>
    <w:tmpl w:val="1E10A872"/>
    <w:lvl w:ilvl="0" w:tplc="688AF62C">
      <w:numFmt w:val="bullet"/>
      <w:lvlText w:val=""/>
      <w:lvlJc w:val="center"/>
      <w:pPr>
        <w:ind w:left="7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FB"/>
    <w:rsid w:val="00062BE7"/>
    <w:rsid w:val="000A3602"/>
    <w:rsid w:val="000A44B9"/>
    <w:rsid w:val="000B4C1F"/>
    <w:rsid w:val="000C2736"/>
    <w:rsid w:val="00120180"/>
    <w:rsid w:val="001D0673"/>
    <w:rsid w:val="002C4C1B"/>
    <w:rsid w:val="003736FB"/>
    <w:rsid w:val="003A7CE5"/>
    <w:rsid w:val="004416A5"/>
    <w:rsid w:val="00456574"/>
    <w:rsid w:val="00465E70"/>
    <w:rsid w:val="004A430C"/>
    <w:rsid w:val="005B1E07"/>
    <w:rsid w:val="006D1284"/>
    <w:rsid w:val="0071358B"/>
    <w:rsid w:val="00766882"/>
    <w:rsid w:val="007913F3"/>
    <w:rsid w:val="00814B39"/>
    <w:rsid w:val="008168BD"/>
    <w:rsid w:val="008509BF"/>
    <w:rsid w:val="008C7DFE"/>
    <w:rsid w:val="00A4502D"/>
    <w:rsid w:val="00B144DE"/>
    <w:rsid w:val="00BF419D"/>
    <w:rsid w:val="00D61A3E"/>
    <w:rsid w:val="00DC30E8"/>
    <w:rsid w:val="00DC6EE1"/>
    <w:rsid w:val="00E24909"/>
    <w:rsid w:val="00E42E04"/>
    <w:rsid w:val="00E66851"/>
    <w:rsid w:val="00E94D6E"/>
    <w:rsid w:val="00FB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63A1CD"/>
  <w15:chartTrackingRefBased/>
  <w15:docId w15:val="{164A6D1A-6769-4C89-B982-4112A1E5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6FB"/>
    <w:pPr>
      <w:spacing w:after="200" w:line="276" w:lineRule="auto"/>
    </w:pPr>
    <w:rPr>
      <w:rFonts w:ascii="Arial" w:hAnsi="Arial"/>
      <w:color w:val="282828"/>
      <w:sz w:val="20"/>
    </w:rPr>
  </w:style>
  <w:style w:type="paragraph" w:styleId="Heading1">
    <w:name w:val="heading 1"/>
    <w:aliases w:val="h1,c"/>
    <w:basedOn w:val="Normal"/>
    <w:next w:val="Normal"/>
    <w:link w:val="Heading1Char"/>
    <w:uiPriority w:val="9"/>
    <w:qFormat/>
    <w:rsid w:val="003736FB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aliases w:val="h2,Contents Heading,Contents,- Main,3...,2m,Level 2 Head,h2 main heading,B Sub/Bold,B Sub/Bold1,B Sub/Bold2,B Sub/Bold11,h2 main heading1,h2 main heading2,B Sub/Bold3,B Sub/Bold12,h2 main heading3,B Sub/Bold4,B Sub/Bold13,H2,Para2,SubPara,body"/>
    <w:basedOn w:val="Normal"/>
    <w:next w:val="Normal"/>
    <w:link w:val="Heading2Char"/>
    <w:uiPriority w:val="9"/>
    <w:semiHidden/>
    <w:unhideWhenUsed/>
    <w:qFormat/>
    <w:rsid w:val="006D1284"/>
    <w:pPr>
      <w:keepNext/>
      <w:tabs>
        <w:tab w:val="num" w:pos="850"/>
      </w:tabs>
      <w:autoSpaceDE w:val="0"/>
      <w:autoSpaceDN w:val="0"/>
      <w:spacing w:before="240" w:after="60" w:line="240" w:lineRule="auto"/>
      <w:ind w:left="850" w:hanging="850"/>
      <w:outlineLvl w:val="1"/>
    </w:pPr>
    <w:rPr>
      <w:rFonts w:eastAsia="Times New Roman" w:cs="Arial"/>
      <w:iCs/>
      <w:color w:val="auto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c Char"/>
    <w:basedOn w:val="DefaultParagraphFont"/>
    <w:link w:val="Heading1"/>
    <w:uiPriority w:val="9"/>
    <w:rsid w:val="003736FB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paragraph" w:styleId="Header">
    <w:name w:val="header"/>
    <w:basedOn w:val="Normal"/>
    <w:link w:val="Head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6FB"/>
    <w:rPr>
      <w:rFonts w:ascii="Arial" w:hAnsi="Arial"/>
      <w:color w:val="282828"/>
      <w:sz w:val="20"/>
    </w:rPr>
  </w:style>
  <w:style w:type="paragraph" w:styleId="Footer">
    <w:name w:val="footer"/>
    <w:basedOn w:val="Normal"/>
    <w:link w:val="FooterChar"/>
    <w:uiPriority w:val="99"/>
    <w:unhideWhenUsed/>
    <w:rsid w:val="00373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6FB"/>
    <w:rPr>
      <w:rFonts w:ascii="Arial" w:hAnsi="Arial"/>
      <w:color w:val="282828"/>
      <w:sz w:val="20"/>
    </w:rPr>
  </w:style>
  <w:style w:type="paragraph" w:styleId="ListParagraph">
    <w:name w:val="List Paragraph"/>
    <w:basedOn w:val="Normal"/>
    <w:uiPriority w:val="34"/>
    <w:qFormat/>
    <w:rsid w:val="003736FB"/>
    <w:pPr>
      <w:ind w:left="720"/>
      <w:contextualSpacing/>
    </w:pPr>
  </w:style>
  <w:style w:type="character" w:styleId="Hyperlink">
    <w:name w:val="Hyperlink"/>
    <w:uiPriority w:val="99"/>
    <w:rsid w:val="003736FB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3736FB"/>
    <w:pPr>
      <w:spacing w:line="240" w:lineRule="auto"/>
    </w:pPr>
    <w:rPr>
      <w:rFonts w:asciiTheme="minorHAnsi" w:hAnsiTheme="minorHAnsi"/>
      <w:color w:val="auto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36FB"/>
    <w:rPr>
      <w:sz w:val="20"/>
      <w:szCs w:val="20"/>
      <w:lang w:val="en-GB"/>
    </w:rPr>
  </w:style>
  <w:style w:type="paragraph" w:customStyle="1" w:styleId="MB-Body">
    <w:name w:val="MB - Body"/>
    <w:basedOn w:val="Normal"/>
    <w:qFormat/>
    <w:rsid w:val="003736FB"/>
    <w:pPr>
      <w:widowControl w:val="0"/>
      <w:spacing w:after="120" w:line="252" w:lineRule="auto"/>
      <w:ind w:right="57"/>
    </w:pPr>
    <w:rPr>
      <w:rFonts w:eastAsia="Arial" w:cs="Arial"/>
      <w:color w:val="231F20"/>
      <w:sz w:val="19"/>
      <w:szCs w:val="19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36F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6FB"/>
    <w:rPr>
      <w:rFonts w:ascii="Segoe UI" w:hAnsi="Segoe UI" w:cs="Segoe UI"/>
      <w:color w:val="282828"/>
      <w:sz w:val="18"/>
      <w:szCs w:val="18"/>
    </w:rPr>
  </w:style>
  <w:style w:type="character" w:customStyle="1" w:styleId="Heading2Char">
    <w:name w:val="Heading 2 Char"/>
    <w:aliases w:val="h2 Char,Contents Heading Char,Contents Char,- Main Char,3... Char,2m Char,Level 2 Head Char,h2 main heading Char,B Sub/Bold Char,B Sub/Bold1 Char,B Sub/Bold2 Char,B Sub/Bold11 Char,h2 main heading1 Char,h2 main heading2 Char,H2 Char"/>
    <w:basedOn w:val="DefaultParagraphFont"/>
    <w:link w:val="Heading2"/>
    <w:uiPriority w:val="9"/>
    <w:semiHidden/>
    <w:rsid w:val="006D1284"/>
    <w:rPr>
      <w:rFonts w:ascii="Arial" w:eastAsia="Times New Roman" w:hAnsi="Arial" w:cs="Arial"/>
      <w:iCs/>
      <w:sz w:val="24"/>
      <w:szCs w:val="28"/>
    </w:rPr>
  </w:style>
  <w:style w:type="paragraph" w:styleId="NoSpacing">
    <w:name w:val="No Spacing"/>
    <w:uiPriority w:val="1"/>
    <w:qFormat/>
    <w:rsid w:val="006D1284"/>
    <w:pPr>
      <w:tabs>
        <w:tab w:val="num" w:pos="2170"/>
      </w:tabs>
      <w:spacing w:after="0" w:line="240" w:lineRule="auto"/>
      <w:ind w:left="2170" w:hanging="850"/>
    </w:pPr>
  </w:style>
  <w:style w:type="paragraph" w:customStyle="1" w:styleId="Default">
    <w:name w:val="Default"/>
    <w:rsid w:val="006D1284"/>
    <w:pPr>
      <w:tabs>
        <w:tab w:val="num" w:pos="3829"/>
      </w:tabs>
      <w:autoSpaceDE w:val="0"/>
      <w:autoSpaceDN w:val="0"/>
      <w:adjustRightInd w:val="0"/>
      <w:spacing w:after="0" w:line="240" w:lineRule="auto"/>
      <w:ind w:left="3829" w:hanging="851"/>
    </w:pPr>
    <w:rPr>
      <w:rFonts w:ascii="Calibri" w:hAnsi="Calibri" w:cs="Calibri"/>
      <w:color w:val="000000"/>
      <w:sz w:val="24"/>
      <w:szCs w:val="24"/>
    </w:rPr>
  </w:style>
  <w:style w:type="paragraph" w:customStyle="1" w:styleId="MBHeader01">
    <w:name w:val="MB Header 01"/>
    <w:basedOn w:val="Normal"/>
    <w:qFormat/>
    <w:rsid w:val="006D1284"/>
    <w:pPr>
      <w:tabs>
        <w:tab w:val="num" w:pos="936"/>
      </w:tabs>
      <w:spacing w:before="360" w:after="60"/>
      <w:ind w:left="936" w:right="-23" w:hanging="510"/>
    </w:pPr>
    <w:rPr>
      <w:rFonts w:eastAsia="PlantinMTStd-LightItalic" w:cs="PlantinMTStd-LightItalic"/>
      <w:color w:val="4EAE87"/>
      <w:sz w:val="40"/>
      <w:szCs w:val="20"/>
    </w:rPr>
  </w:style>
  <w:style w:type="character" w:customStyle="1" w:styleId="HealthnumLevel5Char">
    <w:name w:val="Health (num) Level 5 Char"/>
    <w:link w:val="HealthnumLevel5"/>
    <w:locked/>
    <w:rsid w:val="006D1284"/>
    <w:rPr>
      <w:rFonts w:ascii="Times New Roman" w:eastAsia="Times New Roman" w:hAnsi="Times New Roman" w:cs="Times New Roman"/>
      <w:sz w:val="24"/>
      <w:szCs w:val="24"/>
    </w:rPr>
  </w:style>
  <w:style w:type="paragraph" w:customStyle="1" w:styleId="HealthnumLevel5">
    <w:name w:val="Health (num) Level 5"/>
    <w:basedOn w:val="Normal"/>
    <w:link w:val="HealthnumLevel5Char"/>
    <w:rsid w:val="006D1284"/>
    <w:pPr>
      <w:tabs>
        <w:tab w:val="num" w:pos="850"/>
        <w:tab w:val="num" w:pos="936"/>
      </w:tabs>
      <w:autoSpaceDE w:val="0"/>
      <w:autoSpaceDN w:val="0"/>
      <w:spacing w:before="180" w:after="0" w:line="260" w:lineRule="exact"/>
      <w:ind w:left="850" w:hanging="51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acgp.org.au/clinical-resources/clinical-guidelines/key-racgp-guidelines/view-all-racgp-guidelines/prescribing-drugs-of-dependence/prescribing-drugs-of-dependence-part-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racgp.org.au/usage/lice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Hereward</dc:creator>
  <cp:keywords/>
  <dc:description/>
  <cp:lastModifiedBy>Kim Smith</cp:lastModifiedBy>
  <cp:revision>2</cp:revision>
  <dcterms:created xsi:type="dcterms:W3CDTF">2019-06-03T23:11:00Z</dcterms:created>
  <dcterms:modified xsi:type="dcterms:W3CDTF">2019-06-03T23:11:00Z</dcterms:modified>
</cp:coreProperties>
</file>